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2D" w:rsidRPr="009F63E2" w:rsidRDefault="0065685B" w:rsidP="00CD7D2D">
      <w:pPr>
        <w:autoSpaceDE/>
        <w:autoSpaceDN/>
        <w:ind w:leftChars="100" w:left="220"/>
        <w:jc w:val="center"/>
        <w:rPr>
          <w:rFonts w:ascii="Times New Roman" w:eastAsia="標楷體" w:hAnsi="Times New Roman" w:cs="Times New Roman"/>
          <w:b/>
          <w:sz w:val="40"/>
          <w:szCs w:val="32"/>
          <w:lang w:val="en-US" w:bidi="ar-SA"/>
        </w:rPr>
      </w:pPr>
      <w:proofErr w:type="gramStart"/>
      <w:r w:rsidRPr="009F63E2">
        <w:rPr>
          <w:rFonts w:ascii="Times New Roman" w:eastAsia="標楷體" w:hAnsi="Times New Roman" w:cs="Times New Roman"/>
          <w:b/>
          <w:sz w:val="40"/>
          <w:szCs w:val="40"/>
        </w:rPr>
        <w:t>11</w:t>
      </w:r>
      <w:r w:rsidR="000E6280">
        <w:rPr>
          <w:rFonts w:ascii="Times New Roman" w:eastAsia="標楷體" w:hAnsi="Times New Roman" w:cs="Times New Roman"/>
          <w:b/>
          <w:sz w:val="40"/>
          <w:szCs w:val="40"/>
        </w:rPr>
        <w:t>2</w:t>
      </w:r>
      <w:proofErr w:type="gramEnd"/>
      <w:r w:rsidR="004D1779" w:rsidRPr="009F63E2">
        <w:rPr>
          <w:rFonts w:eastAsia="標楷體"/>
          <w:b/>
          <w:sz w:val="40"/>
          <w:szCs w:val="40"/>
        </w:rPr>
        <w:t>年度嘉義市「</w:t>
      </w:r>
      <w:r w:rsidR="00CD7D2D" w:rsidRPr="009F63E2">
        <w:rPr>
          <w:rFonts w:ascii="Times New Roman" w:eastAsia="標楷體" w:hAnsi="Times New Roman" w:cs="Times New Roman"/>
          <w:b/>
          <w:sz w:val="40"/>
          <w:lang w:val="en-US" w:bidi="ar-SA"/>
        </w:rPr>
        <w:t>社區式家庭</w:t>
      </w:r>
      <w:proofErr w:type="gramStart"/>
      <w:r w:rsidR="00CD7D2D" w:rsidRPr="009F63E2">
        <w:rPr>
          <w:rFonts w:ascii="Times New Roman" w:eastAsia="標楷體" w:hAnsi="Times New Roman" w:cs="Times New Roman"/>
          <w:b/>
          <w:sz w:val="40"/>
          <w:lang w:val="en-US" w:bidi="ar-SA"/>
        </w:rPr>
        <w:t>托顧長期</w:t>
      </w:r>
      <w:proofErr w:type="gramEnd"/>
      <w:r w:rsidR="00CD7D2D" w:rsidRPr="009F63E2">
        <w:rPr>
          <w:rFonts w:ascii="Times New Roman" w:eastAsia="標楷體" w:hAnsi="Times New Roman" w:cs="Times New Roman"/>
          <w:b/>
          <w:sz w:val="40"/>
          <w:lang w:val="en-US" w:bidi="ar-SA"/>
        </w:rPr>
        <w:t>照顧服務機構</w:t>
      </w:r>
      <w:r w:rsidR="004D1779" w:rsidRPr="009F63E2">
        <w:rPr>
          <w:rFonts w:ascii="Times New Roman" w:eastAsia="標楷體" w:hAnsi="Times New Roman" w:cs="Times New Roman" w:hint="eastAsia"/>
          <w:b/>
          <w:sz w:val="40"/>
          <w:lang w:val="en-US" w:bidi="ar-SA"/>
        </w:rPr>
        <w:t>」</w:t>
      </w:r>
      <w:r w:rsidR="00CD7D2D" w:rsidRPr="009F63E2">
        <w:rPr>
          <w:rFonts w:ascii="Times New Roman" w:eastAsia="標楷體" w:hAnsi="Times New Roman" w:cs="Times New Roman"/>
          <w:b/>
          <w:sz w:val="40"/>
          <w:lang w:val="en-US" w:bidi="ar-SA"/>
        </w:rPr>
        <w:t>評鑑基準</w:t>
      </w:r>
    </w:p>
    <w:p w:rsidR="00CD7D2D" w:rsidRPr="009F63E2" w:rsidRDefault="00CD7D2D" w:rsidP="00F23892">
      <w:pPr>
        <w:numPr>
          <w:ilvl w:val="0"/>
          <w:numId w:val="1"/>
        </w:numPr>
        <w:autoSpaceDE/>
        <w:autoSpaceDN/>
        <w:spacing w:beforeLines="50" w:before="180"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bookmarkStart w:id="0" w:name="OLE_LINK141"/>
      <w:bookmarkStart w:id="1" w:name="OLE_LINK140"/>
      <w:bookmarkStart w:id="2" w:name="OLE_LINK139"/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經營管理效能</w:t>
      </w:r>
      <w:bookmarkEnd w:id="0"/>
      <w:bookmarkEnd w:id="1"/>
      <w:bookmarkEnd w:id="2"/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5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</w:t>
      </w:r>
      <w:r w:rsidR="0001037C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01037C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30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310"/>
        <w:gridCol w:w="3086"/>
        <w:gridCol w:w="3172"/>
        <w:gridCol w:w="2898"/>
        <w:gridCol w:w="734"/>
        <w:gridCol w:w="1985"/>
        <w:gridCol w:w="1514"/>
      </w:tblGrid>
      <w:tr w:rsidR="00EF2AA3" w:rsidRPr="009F63E2" w:rsidTr="00C00EC0">
        <w:trPr>
          <w:cantSplit/>
          <w:trHeight w:val="567"/>
          <w:tblHeader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AB59B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BC5CDA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EF2AA3" w:rsidRPr="009F63E2" w:rsidTr="00C00EC0">
        <w:trPr>
          <w:cantSplit/>
          <w:trHeight w:val="397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AB59B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A1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3" w:name="_Toc530779362"/>
            <w:bookmarkStart w:id="4" w:name="_Toc530779505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服務管理</w:t>
            </w:r>
            <w:bookmarkEnd w:id="3"/>
            <w:bookmarkEnd w:id="4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及緊急事件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4C1A86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應置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人員一人，並有替代照顧措施，或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置具家庭托顧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服務人員資格之替代照顧者。</w:t>
            </w:r>
          </w:p>
          <w:p w:rsidR="00CE34A4" w:rsidRPr="009F63E2" w:rsidRDefault="00CE34A4" w:rsidP="004C1A86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訂有意外事件預防及緊急處理流程，張貼緊急狀況聯絡電話表於明顯之處。</w:t>
            </w:r>
          </w:p>
          <w:p w:rsidR="00CE34A4" w:rsidRPr="009F63E2" w:rsidRDefault="00CE34A4" w:rsidP="004C1A86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CE34A4" w:rsidRPr="009F63E2" w:rsidRDefault="00CE34A4" w:rsidP="004C1A86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與家屬即時連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繫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之紀錄。</w:t>
            </w:r>
          </w:p>
          <w:p w:rsidR="00CE34A4" w:rsidRPr="009F63E2" w:rsidRDefault="00CE34A4" w:rsidP="004C1A86">
            <w:pPr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投保公共意外責任險</w:t>
            </w:r>
            <w:r w:rsidR="004C1A86" w:rsidRPr="00294237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，且投保不可間斷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5041EF">
            <w:pPr>
              <w:pStyle w:val="a9"/>
              <w:numPr>
                <w:ilvl w:val="0"/>
                <w:numId w:val="31"/>
              </w:numPr>
              <w:adjustRightInd w:val="0"/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文件檢閱、現場訪談、實地察看</w:t>
            </w:r>
          </w:p>
          <w:p w:rsidR="00CE34A4" w:rsidRPr="009F63E2" w:rsidRDefault="00CE34A4" w:rsidP="00D54A0B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CE34A4" w:rsidRPr="009F63E2" w:rsidRDefault="00CE34A4" w:rsidP="00D54A0B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檢閱事件發生之紀錄。</w:t>
            </w:r>
          </w:p>
          <w:p w:rsidR="00CE34A4" w:rsidRPr="009F63E2" w:rsidRDefault="00CE34A4" w:rsidP="00D54A0B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人員訪談發生事件時之處理情形。</w:t>
            </w:r>
          </w:p>
          <w:p w:rsidR="00CE34A4" w:rsidRPr="009F63E2" w:rsidRDefault="00CE34A4" w:rsidP="00D54A0B">
            <w:pPr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察看緊急狀況聯絡電話表張貼情形。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(8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(6.8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(2.4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C3D20" w:rsidRPr="009F63E2" w:rsidRDefault="00BC3D20" w:rsidP="00BC3D20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D654E" w:rsidRPr="009F63E2" w:rsidRDefault="00BC3D20" w:rsidP="00BC3D2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01037C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54A0B">
            <w:pPr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替代照顧措施，或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置具家庭托顧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服務人員資格之替代照顧者。</w:t>
            </w:r>
          </w:p>
          <w:p w:rsidR="00CE34A4" w:rsidRPr="009F63E2" w:rsidRDefault="00CE34A4" w:rsidP="00D54A0B">
            <w:pPr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緊急處理流程：如水災、火災、震災、跌倒、燙傷、意外吞嚥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…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等。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確保機構管理情形良好，能處理緊急事件，以持續提供長照服務。</w:t>
            </w:r>
          </w:p>
        </w:tc>
      </w:tr>
      <w:tr w:rsidR="00EF2AA3" w:rsidRPr="009F63E2" w:rsidTr="00C00EC0">
        <w:trPr>
          <w:cantSplit/>
          <w:trHeight w:val="397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F2389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A2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BC5CDA">
            <w:pPr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5" w:name="_Toc530779367"/>
            <w:bookmarkStart w:id="6" w:name="_Toc530779510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健康檢查</w:t>
            </w:r>
            <w:bookmarkEnd w:id="5"/>
            <w:bookmarkEnd w:id="6"/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364B2">
            <w:pPr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每年健康檢查包含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人員及其替代照顧者。</w:t>
            </w:r>
          </w:p>
          <w:p w:rsidR="00CE34A4" w:rsidRPr="009F63E2" w:rsidRDefault="00CE34A4" w:rsidP="001364B2">
            <w:pPr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人員每年接受健康檢查，檢查項目應包含：胸部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X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光、血液常規及生化、尿液檢查，且有紀錄。第一次接受評鑑者，檢查項目應增列糞便檢查</w:t>
            </w:r>
            <w:r w:rsidR="007D1FA9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(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阿米巴痢疾、桿菌性痢疾、寄生蟲</w:t>
            </w:r>
            <w:r w:rsidRPr="009F63E2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  <w:t>感染檢驗陰性</w:t>
            </w:r>
            <w:r w:rsidR="007D1FA9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)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、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型肝炎抗原抗體報告。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F23892">
            <w:pPr>
              <w:pStyle w:val="a9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9F63E2" w:rsidRDefault="00CE34A4" w:rsidP="001364B2">
            <w:pPr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檢閱健康檢查報告書及相關處理紀錄。</w:t>
            </w:r>
          </w:p>
          <w:p w:rsidR="00CE34A4" w:rsidRPr="009F63E2" w:rsidRDefault="00CE34A4" w:rsidP="001364B2">
            <w:pPr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健康檢查報告書若為檢驗所，則需有醫生簽章。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2AA3" w:rsidRPr="009F63E2" w:rsidRDefault="00EF2AA3" w:rsidP="00EF2AA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F2AA3" w:rsidRPr="009F63E2" w:rsidRDefault="00EF2AA3" w:rsidP="00EF2AA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(3.5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EF2AA3" w:rsidP="00EF2AA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F2389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F23892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F23892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提醒機構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留意感控問題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，以提供服務對象安全的服務。</w:t>
            </w:r>
          </w:p>
        </w:tc>
      </w:tr>
      <w:tr w:rsidR="00EF2AA3" w:rsidRPr="009F63E2" w:rsidTr="00C44ED1">
        <w:trPr>
          <w:cantSplit/>
          <w:trHeight w:val="3118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AB59B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A3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7" w:name="_Toc530779374"/>
            <w:bookmarkStart w:id="8" w:name="_Toc530779517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財務管理</w:t>
            </w:r>
            <w:bookmarkEnd w:id="7"/>
            <w:bookmarkEnd w:id="8"/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364B2">
            <w:pPr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確實依長照服務給付及支付</w:t>
            </w:r>
            <w:r w:rsidR="004C1A86" w:rsidRPr="004C1A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辦法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所訂給</w:t>
            </w:r>
            <w:proofErr w:type="gramEnd"/>
            <w:r w:rsidR="007D1FA9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(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支</w:t>
            </w:r>
            <w:r w:rsidR="007D1FA9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)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付價格收費，且應開給載明收費項目之收據。</w:t>
            </w:r>
          </w:p>
          <w:p w:rsidR="00CE34A4" w:rsidRPr="009F63E2" w:rsidRDefault="00CE34A4" w:rsidP="001364B2">
            <w:pPr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帳目詳實且清楚。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9F63E2" w:rsidRDefault="00CE34A4" w:rsidP="001364B2">
            <w:pPr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檢視機構開立之正式收據含發票。</w:t>
            </w:r>
          </w:p>
          <w:p w:rsidR="00CE34A4" w:rsidRPr="009F63E2" w:rsidRDefault="00CE34A4" w:rsidP="001364B2">
            <w:pPr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所開立的收據，內容至少須包含服務對象姓名、月份、金額、服務單位用印、經手人簽章等項目。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206B" w:rsidRPr="009F63E2" w:rsidRDefault="00B7206B" w:rsidP="00B7206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7206B" w:rsidRPr="009F63E2" w:rsidRDefault="00B7206B" w:rsidP="00B7206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(3.5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B7206B" w:rsidP="00B7206B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確保機構依據長期照顧給付及支付基準規定收費。</w:t>
            </w:r>
          </w:p>
        </w:tc>
      </w:tr>
      <w:tr w:rsidR="00C738D7" w:rsidRPr="009F63E2" w:rsidTr="00C44ED1">
        <w:trPr>
          <w:cantSplit/>
          <w:trHeight w:val="3118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D7" w:rsidRPr="009F63E2" w:rsidRDefault="00C738D7" w:rsidP="00C738D7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A4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8D7" w:rsidRDefault="00C738D7" w:rsidP="00C738D7">
            <w:r w:rsidRPr="00297A6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評鑑期間接受主管機關督考</w:t>
            </w:r>
            <w:r w:rsidRPr="00297A6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/</w:t>
            </w:r>
            <w:r w:rsidRPr="00297A6F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查核缺失改善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AB0" w:rsidRPr="003C5AB0" w:rsidRDefault="003C5AB0" w:rsidP="003C5AB0">
            <w:pPr>
              <w:pStyle w:val="a9"/>
              <w:keepLines/>
              <w:widowControl/>
              <w:numPr>
                <w:ilvl w:val="0"/>
                <w:numId w:val="33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C5AB0">
              <w:rPr>
                <w:rFonts w:ascii="Times New Roman" w:eastAsia="標楷體" w:hAnsi="Times New Roman"/>
                <w:color w:val="FF0000"/>
                <w:szCs w:val="24"/>
              </w:rPr>
              <w:t>評鑑期間接受主管機關督考</w:t>
            </w:r>
            <w:r w:rsidRPr="003C5AB0">
              <w:rPr>
                <w:rFonts w:ascii="Times New Roman" w:eastAsia="標楷體" w:hAnsi="Times New Roman"/>
                <w:color w:val="FF0000"/>
                <w:szCs w:val="24"/>
              </w:rPr>
              <w:t>/</w:t>
            </w:r>
            <w:r w:rsidRPr="003C5AB0">
              <w:rPr>
                <w:rFonts w:ascii="Times New Roman" w:eastAsia="標楷體" w:hAnsi="Times New Roman"/>
                <w:color w:val="FF0000"/>
                <w:szCs w:val="24"/>
              </w:rPr>
              <w:t>查核缺失改善辦理情形</w:t>
            </w:r>
            <w:r w:rsidRPr="003C5AB0"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 w:rsidRPr="003C5AB0">
              <w:rPr>
                <w:rFonts w:ascii="Times New Roman" w:eastAsia="標楷體" w:hAnsi="Times New Roman"/>
                <w:color w:val="FF0000"/>
                <w:szCs w:val="24"/>
              </w:rPr>
              <w:t>包含勞工等主管機關</w:t>
            </w:r>
            <w:r w:rsidRPr="003C5AB0"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  <w:r w:rsidRPr="003C5AB0">
              <w:rPr>
                <w:rFonts w:ascii="Times New Roman" w:eastAsia="標楷體" w:hAnsi="Times New Roman"/>
                <w:color w:val="FF0000"/>
                <w:szCs w:val="24"/>
              </w:rPr>
              <w:t>。</w:t>
            </w:r>
          </w:p>
          <w:p w:rsidR="00C738D7" w:rsidRDefault="003C5AB0" w:rsidP="003C5AB0">
            <w:pPr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249" w:hanging="249"/>
              <w:jc w:val="both"/>
            </w:pPr>
            <w:r w:rsidRPr="003C5AB0"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最近一次評鑑建議改善事項。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38D7" w:rsidRPr="009F63E2" w:rsidRDefault="00C738D7" w:rsidP="00C738D7">
            <w:pPr>
              <w:pStyle w:val="a9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738D7" w:rsidRPr="009F63E2" w:rsidRDefault="00C738D7" w:rsidP="00C738D7">
            <w:pPr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與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eastAsia="zh-HK" w:bidi="ar-SA"/>
              </w:rPr>
              <w:t>地方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主管機關確認機構最近一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eastAsia="zh-HK" w:bidi="ar-SA"/>
              </w:rPr>
              <w:t>次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接受查核改善情形。</w:t>
            </w:r>
          </w:p>
          <w:p w:rsidR="00C738D7" w:rsidRPr="009F63E2" w:rsidRDefault="00C738D7" w:rsidP="00C738D7">
            <w:pPr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瞭解最近一次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zh-HK" w:bidi="ar-SA"/>
              </w:rPr>
              <w:t>缺失</w:t>
            </w:r>
            <w:r w:rsidRPr="009F63E2">
              <w:rPr>
                <w:rFonts w:ascii="Times New Roman" w:eastAsia="標楷體" w:hAnsi="Times New Roman" w:cs="Times New Roman"/>
                <w:kern w:val="2"/>
                <w:position w:val="-1"/>
                <w:sz w:val="24"/>
                <w:szCs w:val="24"/>
                <w:lang w:val="en-US" w:bidi="ar-SA"/>
              </w:rPr>
              <w:t>事項無法改善的要因說明。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38D7" w:rsidRPr="009F63E2" w:rsidRDefault="00C738D7" w:rsidP="00C738D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38D7" w:rsidRPr="009F63E2" w:rsidRDefault="00C738D7" w:rsidP="00C738D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100%</w:t>
            </w:r>
          </w:p>
          <w:p w:rsidR="00C738D7" w:rsidRPr="009F63E2" w:rsidRDefault="00C738D7" w:rsidP="00C738D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(5.1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38D7" w:rsidRPr="009F63E2" w:rsidRDefault="00C738D7" w:rsidP="00C738D7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&gt;=75%,&lt;100%</w:t>
            </w:r>
          </w:p>
          <w:p w:rsidR="00C738D7" w:rsidRPr="009F63E2" w:rsidRDefault="00C738D7" w:rsidP="00C738D7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(4.2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38D7" w:rsidRPr="009F63E2" w:rsidRDefault="00C738D7" w:rsidP="00C738D7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&gt;=50%,&lt;75%</w:t>
            </w:r>
          </w:p>
          <w:p w:rsidR="00C738D7" w:rsidRPr="009F63E2" w:rsidRDefault="00C738D7" w:rsidP="00C738D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少部分符合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38D7" w:rsidRPr="009F63E2" w:rsidRDefault="00C738D7" w:rsidP="00C738D7">
            <w:pPr>
              <w:keepNext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val="en-US"/>
              </w:rPr>
              <w:t>改善情形達</w:t>
            </w:r>
            <w:r w:rsidRPr="009F63E2">
              <w:rPr>
                <w:rFonts w:ascii="Times New Roman" w:eastAsia="標楷體" w:hAnsi="Times New Roman" w:cs="Times New Roman"/>
                <w:b/>
                <w:color w:val="000000" w:themeColor="text1"/>
                <w:lang w:val="en-US"/>
              </w:rPr>
              <w:t>&gt;=25%,&lt;50%</w:t>
            </w:r>
          </w:p>
          <w:p w:rsidR="00C738D7" w:rsidRPr="009F63E2" w:rsidRDefault="00C738D7" w:rsidP="00C738D7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8D7" w:rsidRPr="009F63E2" w:rsidRDefault="00C738D7" w:rsidP="00C738D7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38D7" w:rsidRPr="009F63E2" w:rsidRDefault="00C738D7" w:rsidP="00C738D7">
            <w:pPr>
              <w:pStyle w:val="a9"/>
              <w:keepNext/>
              <w:keepLines/>
              <w:widowControl/>
              <w:numPr>
                <w:ilvl w:val="0"/>
                <w:numId w:val="34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color w:val="000000" w:themeColor="text1"/>
                <w:szCs w:val="24"/>
              </w:rPr>
              <w:t>由縣市政府提供查核缺失項目。</w:t>
            </w:r>
          </w:p>
          <w:p w:rsidR="00C738D7" w:rsidRPr="009F63E2" w:rsidRDefault="00C738D7" w:rsidP="00C738D7">
            <w:pPr>
              <w:pStyle w:val="a9"/>
              <w:keepNext/>
              <w:keepLines/>
              <w:widowControl/>
              <w:numPr>
                <w:ilvl w:val="0"/>
                <w:numId w:val="34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以表格呈現改善作法。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38D7" w:rsidRPr="009F63E2" w:rsidRDefault="00C738D7" w:rsidP="00C738D7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C44ED1" w:rsidRPr="009F63E2" w:rsidTr="00C00EC0">
        <w:trPr>
          <w:cantSplit/>
          <w:trHeight w:val="397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D1" w:rsidRPr="009F63E2" w:rsidRDefault="00C44ED1" w:rsidP="00C44ED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A5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ED1" w:rsidRPr="009F63E2" w:rsidRDefault="00C44ED1" w:rsidP="00C44ED1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9" w:name="_Toc530779399"/>
            <w:bookmarkStart w:id="10" w:name="_Toc530779542"/>
            <w:bookmarkStart w:id="11" w:name="OLE_LINK362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教育訓練</w:t>
            </w:r>
            <w:bookmarkEnd w:id="9"/>
            <w:bookmarkEnd w:id="10"/>
            <w:bookmarkEnd w:id="11"/>
          </w:p>
        </w:tc>
        <w:tc>
          <w:tcPr>
            <w:tcW w:w="10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ED1" w:rsidRPr="000B18E1" w:rsidRDefault="00C44ED1" w:rsidP="00C44ED1">
            <w:pPr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人員及替代照顧者</w:t>
            </w:r>
            <w:r w:rsidRPr="000B18E1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每年均接受</w:t>
            </w:r>
            <w:r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至少</w:t>
            </w:r>
            <w:r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20</w:t>
            </w:r>
            <w:r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小時</w:t>
            </w:r>
            <w:r w:rsidRPr="000B18E1">
              <w:rPr>
                <w:rFonts w:ascii="Times New Roman" w:eastAsia="標楷體" w:hAnsi="Times New Roman" w:cs="Times New Roman"/>
                <w:color w:val="FF0000"/>
                <w:position w:val="-1"/>
                <w:sz w:val="24"/>
                <w:szCs w:val="24"/>
                <w:lang w:val="en-US" w:bidi="ar-SA"/>
              </w:rPr>
              <w:t>繼續教育</w:t>
            </w:r>
            <w:r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(</w:t>
            </w:r>
            <w:r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須為長照積分認證</w:t>
            </w:r>
            <w:r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)</w:t>
            </w:r>
            <w:r w:rsidRPr="000B18E1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，並留有紀錄</w:t>
            </w:r>
            <w:r w:rsidRPr="000B18E1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  <w:lang w:val="en-US" w:bidi="ar-SA"/>
              </w:rPr>
              <w:t>。</w:t>
            </w:r>
          </w:p>
          <w:p w:rsidR="00C44ED1" w:rsidRPr="000B18E1" w:rsidRDefault="00C44ED1" w:rsidP="00C44ED1">
            <w:pPr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人員及替代照顧者</w:t>
            </w:r>
            <w:r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應完成失智症照顧服務</w:t>
            </w:r>
            <w:r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</w:t>
            </w:r>
            <w:r w:rsidRPr="00C4498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小時訓練課程及身心障礙支持服務核心課程，且有完訓證明。</w:t>
            </w:r>
          </w:p>
          <w:p w:rsidR="00C44ED1" w:rsidRDefault="00C44ED1" w:rsidP="00C44ED1">
            <w:pPr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人員及替代照顧者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具有接受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CPR</w:t>
            </w:r>
            <w:r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或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CPCR</w:t>
            </w:r>
            <w:r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或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BLS</w:t>
            </w:r>
            <w:r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Pr="00C4498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訓練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有效期之完訓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證明。</w:t>
            </w:r>
          </w:p>
          <w:p w:rsidR="00C44ED1" w:rsidRPr="005E7287" w:rsidRDefault="00C44ED1" w:rsidP="00C44ED1">
            <w:pPr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316F46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人員及替代照顧者</w:t>
            </w:r>
            <w:r w:rsidRPr="005E728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參與提升服務對象自我照顧能力相關課程情形。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ED1" w:rsidRPr="00797CE7" w:rsidRDefault="00C44ED1" w:rsidP="00C44ED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7F93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797CE7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44ED1" w:rsidRPr="00797CE7" w:rsidRDefault="00C44ED1" w:rsidP="00C44ED1">
            <w:pPr>
              <w:pStyle w:val="a9"/>
              <w:keepLines/>
              <w:widowControl/>
              <w:numPr>
                <w:ilvl w:val="0"/>
                <w:numId w:val="42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napToGrid w:val="0"/>
                <w:color w:val="000000" w:themeColor="text1"/>
              </w:rPr>
            </w:pPr>
            <w:r w:rsidRPr="00797CE7">
              <w:rPr>
                <w:rFonts w:ascii="Times New Roman" w:eastAsia="標楷體" w:hAnsi="Times New Roman"/>
                <w:snapToGrid w:val="0"/>
              </w:rPr>
              <w:t>檢視</w:t>
            </w:r>
            <w:proofErr w:type="gramStart"/>
            <w:r w:rsidRPr="00797CE7">
              <w:rPr>
                <w:rFonts w:ascii="Times New Roman" w:eastAsia="標楷體" w:hAnsi="Times New Roman"/>
                <w:snapToGrid w:val="0"/>
              </w:rPr>
              <w:t>家庭托顧服務</w:t>
            </w:r>
            <w:proofErr w:type="gramEnd"/>
            <w:r w:rsidRPr="00797CE7">
              <w:rPr>
                <w:rFonts w:ascii="Times New Roman" w:eastAsia="標楷體" w:hAnsi="Times New Roman"/>
                <w:snapToGrid w:val="0"/>
              </w:rPr>
              <w:t>人員之急救</w:t>
            </w:r>
            <w:r w:rsidRPr="00797CE7">
              <w:rPr>
                <w:rFonts w:ascii="標楷體" w:eastAsia="標楷體" w:hAnsi="標楷體" w:hint="eastAsia"/>
                <w:color w:val="FF0000"/>
                <w:szCs w:val="24"/>
              </w:rPr>
              <w:t>及訓練等</w:t>
            </w:r>
            <w:r w:rsidRPr="00797CE7">
              <w:rPr>
                <w:rFonts w:ascii="Times New Roman" w:eastAsia="標楷體" w:hAnsi="Times New Roman"/>
                <w:snapToGrid w:val="0"/>
              </w:rPr>
              <w:t>證明文件。</w:t>
            </w:r>
          </w:p>
          <w:p w:rsidR="00C44ED1" w:rsidRPr="00797CE7" w:rsidRDefault="00C44ED1" w:rsidP="00C44ED1">
            <w:pPr>
              <w:pStyle w:val="a9"/>
              <w:keepLines/>
              <w:widowControl/>
              <w:numPr>
                <w:ilvl w:val="0"/>
                <w:numId w:val="42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napToGrid w:val="0"/>
                <w:color w:val="000000" w:themeColor="text1"/>
              </w:rPr>
            </w:pPr>
            <w:r w:rsidRPr="00797CE7">
              <w:rPr>
                <w:rFonts w:ascii="Times New Roman" w:eastAsia="標楷體" w:hAnsi="Times New Roman"/>
                <w:snapToGrid w:val="0"/>
                <w:color w:val="FF0000"/>
                <w:szCs w:val="24"/>
              </w:rPr>
              <w:t>機構長照人員急救證明</w:t>
            </w:r>
            <w:r w:rsidRPr="00797CE7">
              <w:rPr>
                <w:rFonts w:ascii="Times New Roman" w:eastAsia="標楷體" w:hAnsi="Times New Roman"/>
                <w:color w:val="FF0000"/>
                <w:szCs w:val="24"/>
              </w:rPr>
              <w:t>有效期於任職期間不可中斷。</w:t>
            </w:r>
          </w:p>
          <w:p w:rsidR="00C44ED1" w:rsidRPr="00797CE7" w:rsidRDefault="00C44ED1" w:rsidP="00C44ED1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szCs w:val="24"/>
              </w:rPr>
            </w:pPr>
            <w:bookmarkStart w:id="12" w:name="_GoBack"/>
            <w:bookmarkEnd w:id="12"/>
          </w:p>
        </w:tc>
        <w:tc>
          <w:tcPr>
            <w:tcW w:w="9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ED1" w:rsidRPr="00957FD0" w:rsidRDefault="00C44ED1" w:rsidP="00C44E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6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C44ED1" w:rsidRPr="00957FD0" w:rsidRDefault="00C44ED1" w:rsidP="00C44E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57FD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5.1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C44ED1" w:rsidRPr="00957FD0" w:rsidRDefault="00C44ED1" w:rsidP="00C44E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4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項完全符合，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44ED1" w:rsidRPr="00957FD0" w:rsidRDefault="00C44ED1" w:rsidP="00C44E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957FD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部分符合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4.2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44ED1" w:rsidRPr="00957FD0" w:rsidRDefault="00C44ED1" w:rsidP="00C44E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至少符合</w:t>
            </w:r>
            <w:r w:rsidRPr="00957FD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3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957FD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44ED1" w:rsidRPr="00957FD0" w:rsidRDefault="00C44ED1" w:rsidP="00C44E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957FD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少部分符合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Pr="00957FD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8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44ED1" w:rsidRPr="00957FD0" w:rsidRDefault="00C44ED1" w:rsidP="00C44ED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 w:rsidRPr="00957FD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2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957FD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3</w:t>
            </w:r>
            <w:r w:rsidRPr="00957FD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44ED1" w:rsidRPr="009F63E2" w:rsidRDefault="00C44ED1" w:rsidP="00C44ED1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lang w:val="en-US" w:bidi="ar-SA"/>
              </w:rPr>
            </w:pPr>
            <w:r w:rsidRPr="00957FD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E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957FD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D1" w:rsidRPr="009F63E2" w:rsidRDefault="00C44ED1" w:rsidP="00C44ED1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ED1" w:rsidRPr="009F63E2" w:rsidRDefault="00C44ED1" w:rsidP="00C44ED1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4ED1" w:rsidRPr="009F63E2" w:rsidRDefault="00C44ED1" w:rsidP="00C44ED1">
            <w:pPr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持續提升專業服務能力，維持服務品質。</w:t>
            </w:r>
          </w:p>
        </w:tc>
      </w:tr>
    </w:tbl>
    <w:p w:rsidR="00B93D35" w:rsidRPr="009F63E2" w:rsidRDefault="00B93D35">
      <w:pPr>
        <w:widowControl/>
        <w:autoSpaceDE/>
        <w:autoSpaceDN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bookmarkStart w:id="13" w:name="OLE_LINK146"/>
      <w:bookmarkStart w:id="14" w:name="OLE_LINK145"/>
      <w:bookmarkStart w:id="15" w:name="OLE_LINK144"/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br w:type="page"/>
      </w:r>
    </w:p>
    <w:p w:rsidR="00CD7D2D" w:rsidRPr="009F63E2" w:rsidRDefault="00CD7D2D" w:rsidP="00F23892">
      <w:pPr>
        <w:numPr>
          <w:ilvl w:val="0"/>
          <w:numId w:val="1"/>
        </w:numPr>
        <w:autoSpaceDE/>
        <w:autoSpaceDN/>
        <w:spacing w:beforeLines="50" w:before="180"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專業照護品質</w:t>
      </w:r>
      <w:bookmarkEnd w:id="13"/>
      <w:bookmarkEnd w:id="14"/>
      <w:bookmarkEnd w:id="15"/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5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</w:t>
      </w:r>
      <w:r w:rsidR="00D66F41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01037C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36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70"/>
        <w:gridCol w:w="3025"/>
        <w:gridCol w:w="3080"/>
        <w:gridCol w:w="2922"/>
        <w:gridCol w:w="891"/>
        <w:gridCol w:w="1868"/>
        <w:gridCol w:w="1514"/>
      </w:tblGrid>
      <w:tr w:rsidR="006319AB" w:rsidRPr="009F63E2" w:rsidTr="006D3BFF">
        <w:trPr>
          <w:cantSplit/>
          <w:trHeight w:val="510"/>
          <w:tblHeader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6319AB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6" w:name="_Toc530779379"/>
            <w:bookmarkStart w:id="17" w:name="_Toc530779522"/>
            <w:bookmarkStart w:id="18" w:name="OLE_LINK357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服務對象照顧紀錄</w:t>
            </w:r>
            <w:bookmarkEnd w:id="16"/>
            <w:bookmarkEnd w:id="17"/>
            <w:bookmarkEnd w:id="18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013C" w:rsidRPr="009F63E2" w:rsidRDefault="00EB013C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1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.</w:t>
            </w:r>
            <w:r w:rsidR="00CE34A4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建立服務對象資料檔案</w:t>
            </w:r>
            <w:r w:rsidR="006D3BFF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9F63E2" w:rsidRDefault="00EB013C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2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.</w:t>
            </w:r>
            <w:r w:rsidR="00CE34A4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留有照顧紀錄。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9F63E2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 w:bidi="ar-SA"/>
              </w:rPr>
              <w:t>抽閱至少</w:t>
            </w:r>
            <w:proofErr w:type="gramEnd"/>
            <w:r w:rsidRPr="009F63E2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 w:bidi="ar-SA"/>
              </w:rPr>
              <w:t>一位</w:t>
            </w: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服務對象之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服務紀錄</w:t>
            </w:r>
            <w:r w:rsidRPr="009F63E2">
              <w:rPr>
                <w:rFonts w:ascii="Times New Roman" w:eastAsia="標楷體" w:hAnsi="Times New Roman" w:cs="Times New Roman"/>
                <w:bCs/>
                <w:sz w:val="24"/>
                <w:szCs w:val="24"/>
                <w:lang w:val="en-US" w:bidi="ar-SA"/>
              </w:rPr>
              <w:t>相關文件，以瞭解個案服務過程。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9F63E2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(8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9F63E2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(5.6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FA2BDA" w:rsidP="00FA2BDA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FA2BDA" w:rsidP="00D853B3">
            <w:pPr>
              <w:keepNext/>
              <w:autoSpaceDE/>
              <w:autoSpaceDN/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保存照顧紀錄，以利機構確實了解服務對象之狀況。</w:t>
            </w:r>
          </w:p>
        </w:tc>
      </w:tr>
      <w:tr w:rsidR="006319AB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B2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19" w:name="_Toc530779382"/>
            <w:bookmarkStart w:id="20" w:name="_Toc530779525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服務對象健康管理及監測</w:t>
            </w:r>
            <w:bookmarkEnd w:id="19"/>
            <w:bookmarkEnd w:id="20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010092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每日測量生命徵象，如血壓、體溫、脈搏等，異常者協助處理。</w:t>
            </w:r>
          </w:p>
          <w:p w:rsidR="00CE34A4" w:rsidRPr="009F63E2" w:rsidRDefault="00CE34A4" w:rsidP="00010092">
            <w:pPr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清楚每</w:t>
            </w:r>
            <w:proofErr w:type="gramStart"/>
            <w:r w:rsidRPr="009F63E2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個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</w:t>
            </w:r>
            <w:r w:rsidRPr="009F63E2">
              <w:rPr>
                <w:rFonts w:ascii="Times New Roman" w:eastAsia="標楷體" w:hAnsi="Times New Roman" w:cs="Times New Roman"/>
                <w:bCs/>
                <w:kern w:val="2"/>
                <w:sz w:val="24"/>
                <w:szCs w:val="24"/>
                <w:lang w:val="en-US" w:bidi="ar-SA"/>
              </w:rPr>
              <w:t>健康狀況及應</w:t>
            </w:r>
            <w:r w:rsidRPr="009F63E2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  <w:t>注意事項。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3D57E2" w:rsidRDefault="00CE34A4" w:rsidP="002620D5">
            <w:pPr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3D57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檢閱測量生命徵象相關佐證資料。</w:t>
            </w:r>
          </w:p>
          <w:p w:rsidR="00CE34A4" w:rsidRPr="003D57E2" w:rsidRDefault="00CE34A4" w:rsidP="002620D5">
            <w:pPr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3D57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訪談</w:t>
            </w:r>
            <w:proofErr w:type="gramStart"/>
            <w:r w:rsidRPr="003D57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3D57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人員執行情形</w:t>
            </w:r>
            <w:r w:rsidR="003D57E2" w:rsidRPr="003D57E2">
              <w:rPr>
                <w:rFonts w:ascii="Calibri" w:eastAsia="標楷體" w:hAnsi="Calibri" w:cs="Times New Roman" w:hint="eastAsia"/>
                <w:color w:val="FF0000"/>
                <w:sz w:val="24"/>
                <w:szCs w:val="24"/>
              </w:rPr>
              <w:t>，</w:t>
            </w:r>
            <w:r w:rsidR="003D57E2" w:rsidRPr="003D57E2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確實掌握服務對象健康狀況。</w:t>
            </w:r>
          </w:p>
          <w:p w:rsidR="00CE34A4" w:rsidRPr="009F63E2" w:rsidRDefault="00CE34A4" w:rsidP="002620D5">
            <w:pPr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hanging="24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訪談服務對象。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9F63E2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(7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9F63E2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(4.9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FA2BDA" w:rsidP="00FA2B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FA2BDA" w:rsidP="00D853B3">
            <w:pPr>
              <w:keepNext/>
              <w:autoSpaceDE/>
              <w:autoSpaceDN/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確實掌握服務對象健康情況，以保障機構服務品質。</w:t>
            </w:r>
          </w:p>
        </w:tc>
      </w:tr>
      <w:tr w:rsidR="00FA2BDA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BDA" w:rsidRPr="009F63E2" w:rsidRDefault="00FA2BDA" w:rsidP="00BC5CDA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BDA" w:rsidRPr="009F63E2" w:rsidRDefault="00FA2BDA" w:rsidP="00BC5CDA">
            <w:pPr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21" w:name="_Toc530779387"/>
            <w:bookmarkStart w:id="22" w:name="_Toc530779530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服務對象衛生清潔及隱私維護</w:t>
            </w:r>
            <w:bookmarkEnd w:id="21"/>
            <w:bookmarkEnd w:id="22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9F63E2" w:rsidRDefault="00FA2BDA" w:rsidP="00010092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保持服務對象身體清潔、無異味。</w:t>
            </w:r>
          </w:p>
          <w:p w:rsidR="00FA2BDA" w:rsidRPr="009F63E2" w:rsidRDefault="00FA2BDA" w:rsidP="00010092">
            <w:pPr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引導、協助如廁、清潔或沐浴時，需顧及其隱私。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9F63E2">
              <w:rPr>
                <w:rFonts w:ascii="標楷體" w:eastAsia="標楷體" w:hAnsi="標楷體" w:hint="eastAsia"/>
                <w:b/>
              </w:rPr>
              <w:t>■</w:t>
            </w:r>
            <w:r w:rsidRPr="009F63E2">
              <w:rPr>
                <w:rFonts w:ascii="Times New Roman" w:eastAsia="標楷體" w:hAnsi="Times New Roman"/>
                <w:sz w:val="24"/>
                <w:szCs w:val="24"/>
              </w:rPr>
              <w:t>現場訪談、現場察看</w:t>
            </w:r>
          </w:p>
          <w:p w:rsidR="00406C0D" w:rsidRPr="00406C0D" w:rsidRDefault="00406C0D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406C0D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觀察照顧現場，服務對象保持清潔及相關隱私維護之情形。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9F63E2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(7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9F63E2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(4.9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9F63E2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BDA" w:rsidRPr="009F63E2" w:rsidRDefault="00FA2BDA" w:rsidP="00BC5CDA">
            <w:pPr>
              <w:autoSpaceDE/>
              <w:autoSpaceDN/>
              <w:adjustRightInd w:val="0"/>
              <w:snapToGrid w:val="0"/>
              <w:ind w:rightChars="-40" w:right="-88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9F63E2" w:rsidRDefault="00FA2BDA" w:rsidP="00BC5CDA">
            <w:pPr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9F63E2" w:rsidRDefault="00FA2BDA" w:rsidP="00BC5CDA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協助服務對象保持清潔及相關隱私維護，以保持其尊嚴。</w:t>
            </w:r>
          </w:p>
        </w:tc>
      </w:tr>
      <w:tr w:rsidR="00FA2BDA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BDA" w:rsidRPr="009F63E2" w:rsidRDefault="00FA2BDA" w:rsidP="00BC5CDA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B4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BDA" w:rsidRPr="009F63E2" w:rsidRDefault="00FA2BDA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23" w:name="_Toc530779395"/>
            <w:bookmarkStart w:id="24" w:name="_Toc530779538"/>
            <w:bookmarkStart w:id="25" w:name="OLE_LINK358"/>
            <w:bookmarkStart w:id="26" w:name="OLE_LINK359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服務對象營養膳食服務</w:t>
            </w:r>
            <w:bookmarkEnd w:id="23"/>
            <w:bookmarkEnd w:id="24"/>
            <w:bookmarkEnd w:id="25"/>
            <w:bookmarkEnd w:id="26"/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E7216D" w:rsidRDefault="00FA2BDA" w:rsidP="00010092">
            <w:pPr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7216D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餐點符合服務對象個別需求。</w:t>
            </w:r>
          </w:p>
          <w:p w:rsidR="00E7216D" w:rsidRPr="00E7216D" w:rsidRDefault="00FA2BDA" w:rsidP="00E7216D">
            <w:pPr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Calibri" w:eastAsia="標楷體" w:hAnsi="Calibri" w:cs="Times New Roman"/>
                <w:color w:val="000000"/>
                <w:sz w:val="24"/>
                <w:szCs w:val="24"/>
              </w:rPr>
            </w:pPr>
            <w:r w:rsidRPr="00E7216D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至少應設有</w:t>
            </w:r>
            <w:proofErr w:type="gramStart"/>
            <w:r w:rsidRPr="00E7216D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具配膳</w:t>
            </w:r>
            <w:proofErr w:type="gramEnd"/>
            <w:r w:rsidRPr="00E7216D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功能之設施，並維持衛生清潔</w:t>
            </w:r>
            <w:r w:rsidR="00E7216D" w:rsidRPr="00E7216D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，</w:t>
            </w:r>
            <w:r w:rsidR="00E7216D" w:rsidRPr="00E7216D">
              <w:rPr>
                <w:rFonts w:ascii="Calibri" w:eastAsia="標楷體" w:hAnsi="Calibri" w:cs="Times New Roman" w:hint="eastAsia"/>
                <w:color w:val="FF0000"/>
                <w:sz w:val="24"/>
                <w:szCs w:val="24"/>
              </w:rPr>
              <w:t>包括冰箱、</w:t>
            </w:r>
            <w:proofErr w:type="gramStart"/>
            <w:r w:rsidR="00E7216D" w:rsidRPr="00E7216D">
              <w:rPr>
                <w:rFonts w:ascii="Calibri" w:eastAsia="標楷體" w:hAnsi="Calibri" w:cs="Times New Roman" w:hint="eastAsia"/>
                <w:color w:val="FF0000"/>
                <w:sz w:val="24"/>
                <w:szCs w:val="24"/>
              </w:rPr>
              <w:t>爐具等</w:t>
            </w:r>
            <w:proofErr w:type="gramEnd"/>
            <w:r w:rsidR="00E7216D" w:rsidRPr="00E7216D">
              <w:rPr>
                <w:rFonts w:ascii="Calibri" w:eastAsia="標楷體" w:hAnsi="Calibri" w:cs="Times New Roman" w:hint="eastAsia"/>
                <w:color w:val="FF0000"/>
                <w:sz w:val="24"/>
                <w:szCs w:val="24"/>
              </w:rPr>
              <w:t>清潔，確保機構之供餐安全</w:t>
            </w:r>
            <w:r w:rsidR="00E7216D" w:rsidRPr="00E7216D">
              <w:rPr>
                <w:rFonts w:ascii="Calibri" w:eastAsia="標楷體" w:hAnsi="Calibri" w:cs="Times New Roman" w:hint="eastAsia"/>
                <w:color w:val="000000"/>
                <w:sz w:val="24"/>
                <w:szCs w:val="24"/>
              </w:rPr>
              <w:t>。</w:t>
            </w:r>
          </w:p>
          <w:p w:rsidR="00DC07DB" w:rsidRPr="009F63E2" w:rsidRDefault="00DC07DB" w:rsidP="00010092">
            <w:pPr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食物檢體留存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(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整份或每樣食物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200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公克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)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分開盛裝，標示日期</w:t>
            </w:r>
            <w:proofErr w:type="gramStart"/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及餐次</w:t>
            </w:r>
            <w:proofErr w:type="gramEnd"/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，冷藏存放</w:t>
            </w:r>
            <w:r w:rsidRPr="00E7216D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 xml:space="preserve"> 48</w:t>
            </w:r>
            <w:r w:rsidRPr="00E7216D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小時。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9F63E2" w:rsidRDefault="00FA2BDA" w:rsidP="00BC5CDA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文件檢閱、現場訪談、現場察看</w:t>
            </w:r>
          </w:p>
          <w:p w:rsidR="00FA2BDA" w:rsidRPr="009F63E2" w:rsidRDefault="00FA2BDA" w:rsidP="00010092">
            <w:pPr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檢閱供餐相關佐證資料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或實地察看供餐情形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FA2BDA" w:rsidRPr="009F63E2" w:rsidRDefault="00FA2BDA" w:rsidP="00010092">
            <w:pPr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現場訪談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人員及服務對象，膳食提供是否依個別需求。</w:t>
            </w:r>
          </w:p>
          <w:p w:rsidR="00FA2BDA" w:rsidRPr="009F63E2" w:rsidRDefault="00FA2BDA" w:rsidP="00010092">
            <w:pPr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實地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察看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配膳設備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清潔情形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9F63E2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(7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9F63E2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(4.9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A2BDA" w:rsidRPr="009F63E2" w:rsidRDefault="00FA2BDA" w:rsidP="00BC5CD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BDA" w:rsidRPr="009F63E2" w:rsidRDefault="00FA2BDA" w:rsidP="00BC5CDA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9F63E2" w:rsidRDefault="00FA2BDA" w:rsidP="00BC5CDA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BDA" w:rsidRPr="009F63E2" w:rsidRDefault="00FA2BDA" w:rsidP="003635BC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1.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配合服務對象之需求提供餐點，以提高機構服務品質。</w:t>
            </w:r>
          </w:p>
          <w:p w:rsidR="00FA2BDA" w:rsidRPr="009F63E2" w:rsidRDefault="00FA2BDA" w:rsidP="003635BC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2.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維持冰箱清潔，以確保機構之供餐安全。</w:t>
            </w:r>
          </w:p>
          <w:p w:rsidR="00FA2BDA" w:rsidRPr="009F63E2" w:rsidRDefault="00FA2BDA" w:rsidP="00BC5CDA">
            <w:pPr>
              <w:numPr>
                <w:ilvl w:val="3"/>
                <w:numId w:val="9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6319AB" w:rsidRPr="009F63E2" w:rsidTr="006D3BFF">
        <w:trPr>
          <w:cantSplit/>
          <w:trHeight w:val="2551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89" w:rsidRPr="009F63E2" w:rsidRDefault="003B7C89" w:rsidP="00BD4AE2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B5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89" w:rsidRPr="009F63E2" w:rsidRDefault="003B7C89" w:rsidP="00BC5CDA">
            <w:pPr>
              <w:keepNext/>
              <w:autoSpaceDE/>
              <w:autoSpaceDN/>
              <w:adjustRightInd w:val="0"/>
              <w:snapToGrid w:val="0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服務提供過程感染預防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9F63E2" w:rsidRDefault="003B7C89" w:rsidP="00D853B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val="en-US" w:bidi="ar-SA"/>
              </w:rPr>
              <w:t>落實實施手部衛生作業。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9F63E2" w:rsidRDefault="003B7C89" w:rsidP="002620D5">
            <w:pPr>
              <w:pStyle w:val="a9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現場訪談、現場察看</w:t>
            </w:r>
          </w:p>
          <w:p w:rsidR="003B7C89" w:rsidRPr="009F63E2" w:rsidRDefault="003B7C89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現場檢測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人員是否會正確洗手。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F49" w:rsidRPr="009F63E2" w:rsidRDefault="00195F49" w:rsidP="00195F4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(7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B7C89" w:rsidRPr="009F63E2" w:rsidRDefault="00195F49" w:rsidP="00195F4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C89" w:rsidRPr="009F63E2" w:rsidRDefault="00EB013C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center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9F63E2" w:rsidRDefault="003B7C89" w:rsidP="00D853B3">
            <w:pPr>
              <w:keepNext/>
              <w:autoSpaceDE/>
              <w:autoSpaceDN/>
              <w:adjustRightInd w:val="0"/>
              <w:snapToGrid w:val="0"/>
              <w:ind w:rightChars="-40" w:right="-88"/>
              <w:jc w:val="both"/>
              <w:outlineLvl w:val="1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7C89" w:rsidRPr="009F63E2" w:rsidRDefault="003B7C89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8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8"/>
                <w:lang w:val="en-US" w:bidi="ar-SA"/>
              </w:rPr>
              <w:t>維持手部清潔，確保服務安全。</w:t>
            </w:r>
          </w:p>
        </w:tc>
      </w:tr>
    </w:tbl>
    <w:p w:rsidR="00EB013C" w:rsidRPr="009F63E2" w:rsidRDefault="00EB013C">
      <w:pPr>
        <w:widowControl/>
        <w:autoSpaceDE/>
        <w:autoSpaceDN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bookmarkStart w:id="27" w:name="OLE_LINK150"/>
      <w:bookmarkStart w:id="28" w:name="OLE_LINK149"/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br w:type="page"/>
      </w:r>
    </w:p>
    <w:p w:rsidR="00CD7D2D" w:rsidRPr="009F63E2" w:rsidRDefault="00CD7D2D" w:rsidP="00F23892">
      <w:pPr>
        <w:numPr>
          <w:ilvl w:val="0"/>
          <w:numId w:val="1"/>
        </w:numPr>
        <w:autoSpaceDE/>
        <w:autoSpaceDN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安全環境設備</w:t>
      </w:r>
      <w:bookmarkEnd w:id="27"/>
      <w:bookmarkEnd w:id="28"/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4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</w:t>
      </w:r>
      <w:r w:rsidR="00120524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120524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24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1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91"/>
        <w:gridCol w:w="2994"/>
        <w:gridCol w:w="3115"/>
        <w:gridCol w:w="2957"/>
        <w:gridCol w:w="853"/>
        <w:gridCol w:w="1666"/>
        <w:gridCol w:w="1731"/>
      </w:tblGrid>
      <w:tr w:rsidR="00120524" w:rsidRPr="009F63E2" w:rsidTr="00B91C45">
        <w:trPr>
          <w:cantSplit/>
          <w:trHeight w:val="567"/>
          <w:tblHeader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120524" w:rsidRPr="009F63E2" w:rsidTr="00B91C45">
        <w:trPr>
          <w:cantSplit/>
          <w:trHeight w:val="2551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18765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</w:pPr>
            <w:proofErr w:type="spell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  <w:t>消防安全及急救設備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010092">
            <w:pPr>
              <w:adjustRightInd w:val="0"/>
              <w:snapToGrid w:val="0"/>
              <w:spacing w:before="3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應置基本且在有效期限內之急救箱、滅火器及住宅用火災警報器。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3E7" w:rsidRDefault="00CE34A4" w:rsidP="009813E7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現場察看</w:t>
            </w:r>
          </w:p>
          <w:p w:rsidR="00CF0941" w:rsidRPr="00CF0941" w:rsidRDefault="00CF0941" w:rsidP="00CF0941">
            <w:pPr>
              <w:snapToGrid w:val="0"/>
              <w:ind w:left="190" w:hangingChars="79" w:hanging="19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CF0941">
              <w:rPr>
                <w:rFonts w:ascii="Times New Roman" w:eastAsia="標楷體" w:hAnsi="Times New Roman"/>
                <w:sz w:val="24"/>
                <w:szCs w:val="24"/>
              </w:rPr>
              <w:t>1.</w:t>
            </w:r>
            <w:r w:rsidRPr="00CF0941">
              <w:rPr>
                <w:rFonts w:ascii="Times New Roman" w:eastAsia="標楷體" w:hAnsi="Times New Roman" w:cs="新細明體" w:hint="eastAsia"/>
                <w:sz w:val="24"/>
                <w:szCs w:val="24"/>
              </w:rPr>
              <w:t>急救箱</w:t>
            </w:r>
            <w:proofErr w:type="gramStart"/>
            <w:r w:rsidRPr="00CF0941">
              <w:rPr>
                <w:rFonts w:ascii="Times New Roman" w:eastAsia="標楷體" w:hAnsi="Times New Roman" w:cs="新細明體" w:hint="eastAsia"/>
                <w:sz w:val="24"/>
                <w:szCs w:val="24"/>
              </w:rPr>
              <w:t>請列總</w:t>
            </w:r>
            <w:proofErr w:type="gramEnd"/>
            <w:r w:rsidRPr="00CF0941">
              <w:rPr>
                <w:rFonts w:ascii="Times New Roman" w:eastAsia="標楷體" w:hAnsi="Times New Roman" w:cs="新細明體" w:hint="eastAsia"/>
                <w:sz w:val="24"/>
                <w:szCs w:val="24"/>
              </w:rPr>
              <w:t>表，並注意物品效期。</w:t>
            </w:r>
          </w:p>
          <w:p w:rsidR="00CF0941" w:rsidRPr="00CF0941" w:rsidRDefault="00CF0941" w:rsidP="00CF0941">
            <w:pPr>
              <w:snapToGrid w:val="0"/>
              <w:ind w:left="190" w:hangingChars="79" w:hanging="190"/>
              <w:jc w:val="both"/>
              <w:rPr>
                <w:rFonts w:ascii="Times New Roman" w:eastAsia="標楷體" w:hAnsi="Times New Roman"/>
                <w:szCs w:val="24"/>
              </w:rPr>
            </w:pPr>
            <w:r w:rsidRPr="00CF0941">
              <w:rPr>
                <w:rFonts w:ascii="Times New Roman" w:eastAsia="標楷體" w:hAnsi="Times New Roman"/>
                <w:sz w:val="24"/>
                <w:szCs w:val="24"/>
              </w:rPr>
              <w:t>2.</w:t>
            </w:r>
            <w:r w:rsidRPr="00CF0941">
              <w:rPr>
                <w:rFonts w:ascii="Times New Roman" w:eastAsia="標楷體" w:hAnsi="Times New Roman" w:cs="新細明體" w:hint="eastAsia"/>
                <w:sz w:val="24"/>
                <w:szCs w:val="24"/>
              </w:rPr>
              <w:t>現場抽</w:t>
            </w:r>
            <w:proofErr w:type="gramStart"/>
            <w:r w:rsidRPr="00CF0941">
              <w:rPr>
                <w:rFonts w:ascii="Times New Roman" w:eastAsia="標楷體" w:hAnsi="Times New Roman" w:cs="新細明體" w:hint="eastAsia"/>
                <w:sz w:val="24"/>
                <w:szCs w:val="24"/>
              </w:rPr>
              <w:t>測住警器</w:t>
            </w:r>
            <w:proofErr w:type="gramEnd"/>
            <w:r w:rsidRPr="00CF0941">
              <w:rPr>
                <w:rFonts w:ascii="Times New Roman" w:eastAsia="標楷體" w:hAnsi="Times New Roman" w:cs="新細明體" w:hint="eastAsia"/>
                <w:sz w:val="24"/>
                <w:szCs w:val="24"/>
              </w:rPr>
              <w:t>功能。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00AD" w:rsidRPr="009F63E2" w:rsidRDefault="001F00AD" w:rsidP="001F00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20524"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1F00AD" w:rsidP="001205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4982" w:rsidRDefault="00486046" w:rsidP="00204982">
            <w:pPr>
              <w:keepLines/>
              <w:widowControl/>
              <w:autoSpaceDE/>
              <w:autoSpaceDN/>
              <w:adjustRightInd w:val="0"/>
              <w:snapToGrid w:val="0"/>
              <w:ind w:left="232" w:hanging="2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必要物品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如清單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CE34A4" w:rsidRPr="009F63E2" w:rsidRDefault="00486046" w:rsidP="00204982">
            <w:pPr>
              <w:keepLines/>
              <w:widowControl/>
              <w:autoSpaceDE/>
              <w:autoSpaceDN/>
              <w:adjustRightInd w:val="0"/>
              <w:snapToGrid w:val="0"/>
              <w:ind w:left="232" w:hanging="23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="0020498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建議物品：</w:t>
            </w:r>
            <w:r w:rsidR="0020498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AED</w:t>
            </w:r>
            <w:r w:rsidR="00204982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="00204982" w:rsidRPr="00177F93">
              <w:rPr>
                <w:rFonts w:eastAsia="標楷體"/>
                <w:color w:val="000000" w:themeColor="text1"/>
                <w:sz w:val="24"/>
                <w:szCs w:val="24"/>
              </w:rPr>
              <w:t>甦醒球、</w:t>
            </w:r>
            <w:r w:rsidR="00204982" w:rsidRPr="00177F93">
              <w:rPr>
                <w:rFonts w:eastAsia="標楷體" w:hint="eastAsia"/>
                <w:color w:val="000000" w:themeColor="text1"/>
                <w:sz w:val="24"/>
                <w:szCs w:val="24"/>
              </w:rPr>
              <w:t>口呼吸道、鼻咽呼吸道</w:t>
            </w:r>
            <w:r w:rsidR="00204982">
              <w:rPr>
                <w:rFonts w:eastAsia="標楷體" w:hint="eastAsia"/>
                <w:color w:val="000000" w:themeColor="text1"/>
                <w:sz w:val="24"/>
                <w:szCs w:val="24"/>
              </w:rPr>
              <w:t>、面罩、咬合器、聽診器等。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3635BC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1.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依據《各類場所消防安全設備設置標準》</w:t>
            </w:r>
          </w:p>
          <w:p w:rsidR="00CE34A4" w:rsidRPr="009F63E2" w:rsidRDefault="00CE34A4" w:rsidP="003635BC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2.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確保機構能因應日常及緊急事件處理。</w:t>
            </w:r>
          </w:p>
        </w:tc>
      </w:tr>
      <w:tr w:rsidR="00120524" w:rsidRPr="009F63E2" w:rsidTr="00B91C45">
        <w:trPr>
          <w:cantSplit/>
          <w:trHeight w:val="2551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18765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</w:pPr>
            <w:proofErr w:type="spell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  <w:t>環境</w:t>
            </w:r>
            <w:proofErr w:type="spell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清潔</w:t>
            </w:r>
            <w:proofErr w:type="spell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eastAsia="en-US" w:bidi="ar-SA"/>
              </w:rPr>
              <w:t>維護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010092">
            <w:pPr>
              <w:numPr>
                <w:ilvl w:val="0"/>
                <w:numId w:val="10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定期打掃消毒，維持環境清潔衛生，通風且無異味。</w:t>
            </w:r>
          </w:p>
          <w:p w:rsidR="00CE34A4" w:rsidRPr="009F63E2" w:rsidRDefault="00CE34A4" w:rsidP="00010092">
            <w:pPr>
              <w:numPr>
                <w:ilvl w:val="0"/>
                <w:numId w:val="10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日常活動空間光線明亮、溫馨、友善，且空間配置適當、利於服務對象使用，並設有休閒交誼空間。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現場訪談、現場察看</w:t>
            </w:r>
          </w:p>
          <w:p w:rsidR="00CE34A4" w:rsidRPr="009F63E2" w:rsidRDefault="00CE34A4" w:rsidP="003635BC">
            <w:pPr>
              <w:numPr>
                <w:ilvl w:val="0"/>
                <w:numId w:val="11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訪談服務對象使用情形。</w:t>
            </w:r>
          </w:p>
          <w:p w:rsidR="00CE34A4" w:rsidRPr="009F63E2" w:rsidRDefault="00CE34A4" w:rsidP="003635BC">
            <w:pPr>
              <w:numPr>
                <w:ilvl w:val="0"/>
                <w:numId w:val="11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察看機構是否有足夠之空間供服務對象使用。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524" w:rsidRPr="009F63E2" w:rsidRDefault="00120524" w:rsidP="001205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(7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20524" w:rsidRPr="009F63E2" w:rsidRDefault="00120524" w:rsidP="0012052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(4.9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120524" w:rsidP="0012052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12052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3635BC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確保提供服務對象衛生、清潔及友善的環境。</w:t>
            </w:r>
          </w:p>
        </w:tc>
      </w:tr>
      <w:tr w:rsidR="00120524" w:rsidRPr="009F63E2" w:rsidTr="00B91C45">
        <w:trPr>
          <w:cantSplit/>
          <w:trHeight w:val="2551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120524">
            <w:pPr>
              <w:keepNext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lastRenderedPageBreak/>
              <w:t>C3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F76C50">
            <w:pPr>
              <w:keepNext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trike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便利活動之空間及動線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3635BC">
            <w:pPr>
              <w:keepNext/>
              <w:numPr>
                <w:ilvl w:val="0"/>
                <w:numId w:val="12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提供符合服務對象特性之環境設施。</w:t>
            </w:r>
          </w:p>
          <w:p w:rsidR="00CE34A4" w:rsidRPr="009F63E2" w:rsidRDefault="00CE34A4" w:rsidP="003635BC">
            <w:pPr>
              <w:keepNext/>
              <w:numPr>
                <w:ilvl w:val="0"/>
                <w:numId w:val="12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依服務對象需求提供便利其活動之空間及動線。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20524">
            <w:pPr>
              <w:pStyle w:val="a9"/>
              <w:keepNext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現場訪談、現場察看</w:t>
            </w:r>
          </w:p>
          <w:p w:rsidR="00CE34A4" w:rsidRPr="009F63E2" w:rsidRDefault="00CE34A4" w:rsidP="003635BC">
            <w:pPr>
              <w:keepNext/>
              <w:numPr>
                <w:ilvl w:val="0"/>
                <w:numId w:val="13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訪談服務對象使用情形。</w:t>
            </w:r>
          </w:p>
          <w:p w:rsidR="00CE34A4" w:rsidRPr="009F63E2" w:rsidRDefault="00CE34A4" w:rsidP="003635BC">
            <w:pPr>
              <w:keepNext/>
              <w:numPr>
                <w:ilvl w:val="0"/>
                <w:numId w:val="13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察看機構是否有依服務對象需求提供便利其活動之空間及動線。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524" w:rsidRPr="009F63E2" w:rsidRDefault="00120524" w:rsidP="00120524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20524" w:rsidRPr="009F63E2" w:rsidRDefault="00120524" w:rsidP="00120524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(4.2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120524" w:rsidP="00120524">
            <w:pPr>
              <w:keepNext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120524" w:rsidP="00120524">
            <w:pPr>
              <w:keepNext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20524">
            <w:pPr>
              <w:keepNext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20524">
            <w:pPr>
              <w:keepNext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確保提供服務對象便利及符合需求之日常生活環境。</w:t>
            </w:r>
          </w:p>
        </w:tc>
      </w:tr>
      <w:tr w:rsidR="00120524" w:rsidRPr="009F63E2" w:rsidTr="00B91C45">
        <w:trPr>
          <w:cantSplit/>
          <w:trHeight w:val="2551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120524">
            <w:pPr>
              <w:keepNext/>
              <w:keepLines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C4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F76C50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bookmarkStart w:id="29" w:name="OLE_LINK360"/>
            <w:bookmarkStart w:id="30" w:name="OLE_LINK361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緊急疏散逃生機制</w:t>
            </w:r>
            <w:bookmarkEnd w:id="29"/>
            <w:bookmarkEnd w:id="30"/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9AB" w:rsidRPr="00705267" w:rsidRDefault="008E39AB" w:rsidP="00705267">
            <w:pPr>
              <w:keepNext/>
              <w:keepLines/>
              <w:numPr>
                <w:ilvl w:val="0"/>
                <w:numId w:val="14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526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訂有符合</w:t>
            </w:r>
            <w:proofErr w:type="gramStart"/>
            <w:r w:rsidRPr="0070526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家庭托顧環境</w:t>
            </w:r>
            <w:proofErr w:type="gramEnd"/>
            <w:r w:rsidRPr="0070526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之緊急疏散流程與辦法，每年至少演練</w:t>
            </w:r>
            <w:r w:rsidRPr="0070526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705267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次，</w:t>
            </w:r>
            <w:r w:rsidRPr="0070526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現場訪談人員，了解相關流程。</w:t>
            </w:r>
          </w:p>
          <w:p w:rsidR="00CE34A4" w:rsidRPr="009F63E2" w:rsidRDefault="00CE34A4" w:rsidP="00705267">
            <w:pPr>
              <w:keepNext/>
              <w:keepLines/>
              <w:numPr>
                <w:ilvl w:val="0"/>
                <w:numId w:val="14"/>
              </w:numPr>
              <w:tabs>
                <w:tab w:val="left" w:pos="369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705267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逃生動線順暢，無堆放阻礙物。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20524">
            <w:pPr>
              <w:pStyle w:val="a9"/>
              <w:keepNext/>
              <w:keepLines/>
              <w:numPr>
                <w:ilvl w:val="0"/>
                <w:numId w:val="27"/>
              </w:numPr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文件檢閱、現場訪談、現場察看</w:t>
            </w:r>
          </w:p>
          <w:p w:rsidR="00CE34A4" w:rsidRPr="00705267" w:rsidRDefault="00CE34A4" w:rsidP="003635BC">
            <w:pPr>
              <w:keepNext/>
              <w:keepLines/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705267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檢閱緊急疏散流程及演練相關佐證資料。</w:t>
            </w:r>
          </w:p>
          <w:p w:rsidR="00CE34A4" w:rsidRPr="00705267" w:rsidRDefault="00CE34A4" w:rsidP="003635BC">
            <w:pPr>
              <w:keepNext/>
              <w:keepLines/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705267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現場訪談人員，瞭解對緊急疏散流程之熟悉情形。</w:t>
            </w:r>
          </w:p>
          <w:p w:rsidR="00CE34A4" w:rsidRPr="00705267" w:rsidRDefault="00CE34A4" w:rsidP="003635BC">
            <w:pPr>
              <w:keepNext/>
              <w:keepLines/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705267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現場察看逃生動線順暢情形。</w:t>
            </w:r>
          </w:p>
          <w:p w:rsidR="00CE34A4" w:rsidRPr="00705267" w:rsidRDefault="00CE34A4" w:rsidP="003635BC">
            <w:pPr>
              <w:keepNext/>
              <w:keepLines/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705267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應由縣市政府消防人員先行檢核。</w:t>
            </w:r>
          </w:p>
          <w:p w:rsidR="008E39AB" w:rsidRPr="003C5AB0" w:rsidRDefault="008E39AB" w:rsidP="003635BC">
            <w:pPr>
              <w:keepNext/>
              <w:keepLines/>
              <w:numPr>
                <w:ilvl w:val="0"/>
                <w:numId w:val="20"/>
              </w:numPr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ind w:left="249" w:hanging="249"/>
              <w:jc w:val="both"/>
              <w:rPr>
                <w:rFonts w:ascii="Times New Roman" w:eastAsia="標楷體" w:hAnsi="Times New Roman" w:cs="Times New Roman"/>
                <w:szCs w:val="24"/>
                <w:lang w:val="en-US" w:bidi="ar-SA"/>
              </w:rPr>
            </w:pPr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避難平面圖示應於各樓層主要出入口明顯</w:t>
            </w:r>
            <w:proofErr w:type="gramStart"/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易見處張貼</w:t>
            </w:r>
            <w:proofErr w:type="gramEnd"/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，大小應為</w:t>
            </w:r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60*60</w:t>
            </w:r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公分以上，圖面應標注位置點，並注意應與實際張貼方位方向一致，且門窗</w:t>
            </w:r>
            <w:proofErr w:type="gramStart"/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啟閉時</w:t>
            </w:r>
            <w:proofErr w:type="gramEnd"/>
            <w:r w:rsidRPr="003C5AB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不得造成遮蔽。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7034" w:rsidRPr="009F63E2" w:rsidRDefault="00F37034" w:rsidP="00F37034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37034" w:rsidRPr="009F63E2" w:rsidRDefault="00F37034" w:rsidP="00F37034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(4.2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E34A4" w:rsidRPr="009F63E2" w:rsidRDefault="00F37034" w:rsidP="00F37034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F76C50">
            <w:pPr>
              <w:keepNext/>
              <w:keepLines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0178B1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20524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為強化機構緊急災害應變能力，並參照</w:t>
            </w:r>
            <w:proofErr w:type="gramStart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本土災例經驗</w:t>
            </w:r>
            <w:proofErr w:type="gramEnd"/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</w:tc>
      </w:tr>
    </w:tbl>
    <w:p w:rsidR="00CD7D2D" w:rsidRPr="009F63E2" w:rsidRDefault="00CD7D2D" w:rsidP="002620D5">
      <w:pPr>
        <w:numPr>
          <w:ilvl w:val="0"/>
          <w:numId w:val="17"/>
        </w:numPr>
        <w:autoSpaceDE/>
        <w:autoSpaceDN/>
        <w:rPr>
          <w:rFonts w:ascii="Times New Roman" w:eastAsia="標楷體" w:hAnsi="Times New Roman" w:cs="Times New Roman"/>
          <w:b/>
          <w:sz w:val="32"/>
          <w:szCs w:val="28"/>
          <w:lang w:val="en-US" w:bidi="ar-SA"/>
        </w:rPr>
      </w:pPr>
      <w:bookmarkStart w:id="31" w:name="OLE_LINK155"/>
      <w:bookmarkStart w:id="32" w:name="OLE_LINK154"/>
      <w:bookmarkStart w:id="33" w:name="OLE_LINK153"/>
      <w:r w:rsidRPr="009F63E2">
        <w:rPr>
          <w:rFonts w:ascii="Times New Roman" w:eastAsia="標楷體" w:hAnsi="Times New Roman" w:cs="Times New Roman"/>
          <w:b/>
          <w:sz w:val="32"/>
          <w:szCs w:val="28"/>
          <w:lang w:val="en-US" w:bidi="ar-SA"/>
        </w:rPr>
        <w:br w:type="page"/>
      </w:r>
    </w:p>
    <w:p w:rsidR="00CD7D2D" w:rsidRPr="009F63E2" w:rsidRDefault="00CD7D2D" w:rsidP="00F23892">
      <w:pPr>
        <w:numPr>
          <w:ilvl w:val="0"/>
          <w:numId w:val="1"/>
        </w:numPr>
        <w:autoSpaceDE/>
        <w:autoSpaceDN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個案權益保障</w:t>
      </w:r>
      <w:bookmarkEnd w:id="31"/>
      <w:bookmarkEnd w:id="32"/>
      <w:bookmarkEnd w:id="33"/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2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</w:t>
      </w:r>
      <w:r w:rsidR="001D4D9E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 w:rsidR="001D4D9E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10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="007D1FA9"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351"/>
        <w:gridCol w:w="2831"/>
        <w:gridCol w:w="3213"/>
        <w:gridCol w:w="2920"/>
        <w:gridCol w:w="909"/>
        <w:gridCol w:w="1785"/>
        <w:gridCol w:w="1655"/>
      </w:tblGrid>
      <w:tr w:rsidR="008D087C" w:rsidRPr="009F63E2" w:rsidTr="001D4D9E">
        <w:trPr>
          <w:cantSplit/>
          <w:trHeight w:val="56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8D087C" w:rsidRPr="009F63E2" w:rsidTr="001D4D9E">
        <w:trPr>
          <w:cantSplit/>
          <w:trHeight w:val="39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D1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申訴或意見反應管道及流程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584" w:rsidRPr="009F63E2" w:rsidRDefault="006E1584" w:rsidP="000178B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訂有服務對象、家屬意見反映及申訴處理辦法、流程，並張貼於機構明顯處。</w:t>
            </w:r>
          </w:p>
          <w:p w:rsidR="006E1584" w:rsidRPr="009F63E2" w:rsidRDefault="006E1584" w:rsidP="000178B1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設置多元的意見反映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申訴管道，並確實告知服務對象或家屬申訴管道及處理流程。</w:t>
            </w:r>
          </w:p>
          <w:p w:rsidR="00CE34A4" w:rsidRPr="009F63E2" w:rsidRDefault="006E1584" w:rsidP="000178B1">
            <w:pPr>
              <w:numPr>
                <w:ilvl w:val="0"/>
                <w:numId w:val="15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接獲意見反映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申訴確實依流程規定處理並留有紀錄。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9F63E2" w:rsidRDefault="00CE34A4" w:rsidP="000178B1">
            <w:pPr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rPr>
                <w:rFonts w:ascii="Times New Roman" w:eastAsia="標楷體" w:hAnsi="Times New Roman" w:cs="Times New Roman"/>
                <w:sz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檢視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意見反映及解決辦法</w:t>
            </w: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。</w:t>
            </w:r>
          </w:p>
          <w:p w:rsidR="00A51477" w:rsidRPr="009F63E2" w:rsidRDefault="00CE34A4" w:rsidP="000178B1">
            <w:pPr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實地察看相關訊息公開情形。</w:t>
            </w:r>
          </w:p>
          <w:p w:rsidR="00CE34A4" w:rsidRPr="009F63E2" w:rsidRDefault="00CE34A4" w:rsidP="000178B1">
            <w:pPr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訪談服務對象</w:t>
            </w: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/</w:t>
            </w: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家屬對於申訴事件處理流程是否清楚。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(3.5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E1584" w:rsidRPr="009F63E2" w:rsidRDefault="006E1584" w:rsidP="006E158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CE34A4" w:rsidRPr="009F63E2" w:rsidRDefault="006E1584" w:rsidP="006E1584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CE34A4" w:rsidP="00D853B3">
            <w:pPr>
              <w:autoSpaceDE/>
              <w:autoSpaceDN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1D4D9E">
            <w:pPr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提供服務對象意見反映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/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  <w:tr w:rsidR="008D087C" w:rsidRPr="009F63E2" w:rsidTr="001D4D9E">
        <w:trPr>
          <w:cantSplit/>
          <w:trHeight w:val="397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D2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A4" w:rsidRPr="009F63E2" w:rsidRDefault="00CE34A4" w:rsidP="00434AEF">
            <w:pPr>
              <w:autoSpaceDE/>
              <w:autoSpaceDN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與服務對象或家屬訂定服務契約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0178B1">
            <w:pPr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與委託人</w:t>
            </w:r>
            <w:r w:rsidR="007D1FA9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(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本人或家屬、監護人、代理人</w:t>
            </w:r>
            <w:r w:rsidR="007D1FA9"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)</w:t>
            </w: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簽訂契約書。</w:t>
            </w:r>
          </w:p>
          <w:p w:rsidR="004F6BD6" w:rsidRPr="009F63E2" w:rsidRDefault="004F6BD6" w:rsidP="000178B1">
            <w:pPr>
              <w:keepLines/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契約應給予至少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天的審閱期。</w:t>
            </w:r>
          </w:p>
          <w:p w:rsidR="00CE34A4" w:rsidRPr="009F63E2" w:rsidRDefault="004F6BD6" w:rsidP="000178B1">
            <w:pPr>
              <w:numPr>
                <w:ilvl w:val="0"/>
                <w:numId w:val="1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契約書之內容包含：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(1)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雙方權利與義務；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(2)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(3)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收費標準；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(4)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收費方式；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(5)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服務項目；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(6)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2620D5">
            <w:pPr>
              <w:pStyle w:val="a9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9F63E2">
              <w:rPr>
                <w:rFonts w:ascii="Times New Roman" w:eastAsia="標楷體" w:hAnsi="Times New Roman"/>
                <w:szCs w:val="24"/>
              </w:rPr>
              <w:t>文件檢閱、現場訪談</w:t>
            </w:r>
          </w:p>
          <w:p w:rsidR="00CE34A4" w:rsidRPr="009F63E2" w:rsidRDefault="00CE34A4" w:rsidP="000178B1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檢視契約相關資料。</w:t>
            </w:r>
          </w:p>
          <w:p w:rsidR="00CE34A4" w:rsidRPr="009F63E2" w:rsidRDefault="00CE34A4" w:rsidP="000178B1">
            <w:pPr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訪談</w:t>
            </w:r>
            <w:proofErr w:type="gramStart"/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家庭托顧服務</w:t>
            </w:r>
            <w:proofErr w:type="gramEnd"/>
            <w:r w:rsidRPr="009F63E2">
              <w:rPr>
                <w:rFonts w:ascii="Times New Roman" w:eastAsia="標楷體" w:hAnsi="Times New Roman" w:cs="Times New Roman"/>
                <w:sz w:val="24"/>
                <w:lang w:val="en-US" w:bidi="ar-SA"/>
              </w:rPr>
              <w:t>人員或委託人有關契約內容事項。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E03A4"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5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9E03A4"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3.5</w:t>
            </w:r>
            <w:r w:rsidR="009E03A4"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51477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9F63E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CE34A4" w:rsidRPr="009F63E2" w:rsidRDefault="00A51477" w:rsidP="00A5147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A4" w:rsidRPr="009F63E2" w:rsidRDefault="001D4D9E" w:rsidP="00D853B3">
            <w:pPr>
              <w:autoSpaceDE/>
              <w:autoSpaceDN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4F6BD6" w:rsidP="00D853B3">
            <w:pPr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A4" w:rsidRPr="009F63E2" w:rsidRDefault="00CE34A4" w:rsidP="00D853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</w:tbl>
    <w:p w:rsidR="00FB4B12" w:rsidRDefault="00FB4B12">
      <w:pPr>
        <w:widowControl/>
        <w:autoSpaceDE/>
        <w:autoSpaceDN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FB4B12" w:rsidRPr="009F63E2" w:rsidRDefault="00FB4B12" w:rsidP="00FB4B12">
      <w:pPr>
        <w:numPr>
          <w:ilvl w:val="0"/>
          <w:numId w:val="1"/>
        </w:numPr>
        <w:autoSpaceDE/>
        <w:autoSpaceDN/>
        <w:ind w:left="0" w:firstLine="0"/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</w:pPr>
      <w:r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lastRenderedPageBreak/>
        <w:t>加分項目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(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共</w:t>
      </w:r>
      <w:r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1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項，共</w:t>
      </w:r>
      <w:r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2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分</w:t>
      </w:r>
      <w:r w:rsidRPr="009F63E2">
        <w:rPr>
          <w:rFonts w:ascii="Times New Roman" w:eastAsia="標楷體" w:hAnsi="Times New Roman" w:cs="Times New Roman"/>
          <w:b/>
          <w:kern w:val="2"/>
          <w:sz w:val="32"/>
          <w:szCs w:val="32"/>
          <w:lang w:val="en-US" w:bidi="ar-SA"/>
        </w:rPr>
        <w:t>)</w:t>
      </w:r>
    </w:p>
    <w:tbl>
      <w:tblPr>
        <w:tblW w:w="501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391"/>
        <w:gridCol w:w="2994"/>
        <w:gridCol w:w="3115"/>
        <w:gridCol w:w="2957"/>
        <w:gridCol w:w="853"/>
        <w:gridCol w:w="1666"/>
        <w:gridCol w:w="1731"/>
      </w:tblGrid>
      <w:tr w:rsidR="00FB4B12" w:rsidRPr="009F63E2" w:rsidTr="00ED56A9">
        <w:trPr>
          <w:cantSplit/>
          <w:trHeight w:val="567"/>
          <w:tblHeader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B12" w:rsidRPr="009F63E2" w:rsidRDefault="00FB4B12" w:rsidP="00ED56A9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B12" w:rsidRPr="009F63E2" w:rsidRDefault="00FB4B12" w:rsidP="00ED56A9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4B12" w:rsidRPr="009F63E2" w:rsidRDefault="00FB4B12" w:rsidP="00ED56A9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B12" w:rsidRPr="009F63E2" w:rsidRDefault="00FB4B12" w:rsidP="00ED56A9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B12" w:rsidRPr="009F63E2" w:rsidRDefault="00FB4B12" w:rsidP="00ED56A9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B12" w:rsidRPr="009F63E2" w:rsidRDefault="00FB4B12" w:rsidP="00ED56A9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B12" w:rsidRPr="009F63E2" w:rsidRDefault="00FB4B12" w:rsidP="00ED56A9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B12" w:rsidRPr="009F63E2" w:rsidRDefault="00FB4B12" w:rsidP="00ED56A9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FB4B12" w:rsidRPr="009F63E2" w:rsidTr="00ED56A9">
        <w:trPr>
          <w:cantSplit/>
          <w:trHeight w:val="2551"/>
          <w:jc w:val="center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12" w:rsidRPr="009F63E2" w:rsidRDefault="00FB4B12" w:rsidP="00ED56A9">
            <w:pPr>
              <w:keepNext/>
              <w:keepLines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E1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12" w:rsidRPr="00AB6BD4" w:rsidRDefault="00FB4B12" w:rsidP="00BD2BD3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AB6BD4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緊急疏散逃生</w:t>
            </w:r>
            <w:r w:rsidRPr="00AB6BD4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桌上演練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12" w:rsidRPr="00AB6BD4" w:rsidRDefault="009A3618" w:rsidP="00865623">
            <w:pPr>
              <w:keepNext/>
              <w:keepLines/>
              <w:tabs>
                <w:tab w:val="left" w:pos="369"/>
              </w:tabs>
              <w:autoSpaceDE/>
              <w:autoSpaceDN/>
              <w:adjustRightInd w:val="0"/>
              <w:snapToGrid w:val="0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AB6BD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執行</w:t>
            </w:r>
            <w:r w:rsidR="00FB4B12" w:rsidRPr="00AB6BD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符合</w:t>
            </w:r>
            <w:proofErr w:type="gramStart"/>
            <w:r w:rsidR="00FB4B12" w:rsidRPr="00AB6BD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家庭托顧環境</w:t>
            </w:r>
            <w:proofErr w:type="gramEnd"/>
            <w:r w:rsidR="00FB4B12" w:rsidRPr="00AB6BD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之緊急疏散</w:t>
            </w:r>
            <w:r w:rsidR="00865623" w:rsidRPr="00AB6BD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流程之</w:t>
            </w:r>
            <w:r w:rsidRPr="00AB6BD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桌上演練</w:t>
            </w:r>
            <w:r w:rsidR="00FB4B12" w:rsidRPr="00AB6BD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，</w:t>
            </w:r>
            <w:r w:rsidRPr="00AB6BD4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並留有紀錄</w:t>
            </w:r>
            <w:r w:rsidR="00FB4B12" w:rsidRPr="00AB6BD4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12" w:rsidRPr="00AB6BD4" w:rsidRDefault="00FB4B12" w:rsidP="00ED56A9">
            <w:pPr>
              <w:pStyle w:val="a9"/>
              <w:keepNext/>
              <w:keepLines/>
              <w:numPr>
                <w:ilvl w:val="0"/>
                <w:numId w:val="27"/>
              </w:numPr>
              <w:snapToGrid w:val="0"/>
              <w:ind w:leftChars="0" w:left="266" w:hangingChars="111" w:hanging="266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AB6BD4">
              <w:rPr>
                <w:rFonts w:ascii="Times New Roman" w:eastAsia="標楷體" w:hAnsi="Times New Roman"/>
                <w:szCs w:val="24"/>
              </w:rPr>
              <w:t>文件檢閱、現場訪談、現場察看</w:t>
            </w:r>
          </w:p>
          <w:p w:rsidR="00FB4B12" w:rsidRPr="00AB6BD4" w:rsidRDefault="00FB4B12" w:rsidP="009A3618">
            <w:pPr>
              <w:keepNext/>
              <w:keepLines/>
              <w:tabs>
                <w:tab w:val="left" w:pos="221"/>
              </w:tabs>
              <w:autoSpaceDE/>
              <w:autoSpaceDN/>
              <w:adjustRightInd w:val="0"/>
              <w:snapToGrid w:val="0"/>
              <w:spacing w:before="1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</w:pPr>
            <w:r w:rsidRPr="00AB6BD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檢閱緊急疏散流程及</w:t>
            </w:r>
            <w:r w:rsidR="00086C58" w:rsidRPr="00AB6BD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桌上</w:t>
            </w:r>
            <w:r w:rsidRPr="00AB6BD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演練相關佐證資料。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12" w:rsidRPr="009F63E2" w:rsidRDefault="00FB4B12" w:rsidP="00ED56A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B4B12" w:rsidRPr="009F63E2" w:rsidRDefault="00FB4B12" w:rsidP="00FB4B1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9F63E2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9F63E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B12" w:rsidRPr="009F63E2" w:rsidRDefault="00FB4B12" w:rsidP="00ED56A9">
            <w:pPr>
              <w:keepNext/>
              <w:keepLines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12" w:rsidRPr="009F63E2" w:rsidRDefault="00FB4B12" w:rsidP="00ED56A9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B12" w:rsidRPr="009F63E2" w:rsidRDefault="00FB4B12" w:rsidP="00ED56A9">
            <w:pPr>
              <w:keepNext/>
              <w:keepLines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</w:tbl>
    <w:p w:rsidR="006319AB" w:rsidRPr="00FB4B12" w:rsidRDefault="006319AB" w:rsidP="00CB010B">
      <w:pPr>
        <w:rPr>
          <w:rFonts w:ascii="Times New Roman" w:eastAsia="標楷體" w:hAnsi="Times New Roman" w:cs="Times New Roman"/>
          <w:lang w:val="en-US"/>
        </w:rPr>
      </w:pPr>
    </w:p>
    <w:sectPr w:rsidR="006319AB" w:rsidRPr="00FB4B12" w:rsidSect="00F23892">
      <w:headerReference w:type="default" r:id="rId7"/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04" w:rsidRDefault="00AD2A04" w:rsidP="00CD7D2D">
      <w:r>
        <w:separator/>
      </w:r>
    </w:p>
  </w:endnote>
  <w:endnote w:type="continuationSeparator" w:id="0">
    <w:p w:rsidR="00AD2A04" w:rsidRDefault="00AD2A04" w:rsidP="00CD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29517558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0"/>
            <w:szCs w:val="20"/>
          </w:rPr>
          <w:id w:val="-575822762"/>
          <w:docPartObj>
            <w:docPartGallery w:val="Page Numbers (Bottom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7D22DA" w:rsidRPr="00B52FA6" w:rsidRDefault="00B52FA6" w:rsidP="007D7980">
            <w:pPr>
              <w:autoSpaceDE/>
              <w:autoSpaceDN/>
              <w:ind w:leftChars="100" w:left="220" w:right="55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eastAsiaTheme="minorEastAsia" w:hint="eastAsia"/>
              </w:rPr>
              <w:t xml:space="preserve">                                                   </w:t>
            </w:r>
            <w:r>
              <w:rPr>
                <w:rFonts w:eastAsiaTheme="minorEastAsia"/>
              </w:rPr>
              <w:t xml:space="preserve">    </w:t>
            </w:r>
            <w:r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      </w:t>
            </w:r>
            <w:r w:rsidRPr="00BC0CF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C0CF9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BC0C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44ED1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BC0CF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/>
              </w:rPr>
              <w:t xml:space="preserve">  </w:t>
            </w:r>
            <w:r>
              <w:rPr>
                <w:rFonts w:eastAsiaTheme="minorEastAsia" w:hint="eastAsia"/>
              </w:rPr>
              <w:t xml:space="preserve">  </w:t>
            </w:r>
            <w:r>
              <w:rPr>
                <w:rFonts w:eastAsiaTheme="minorEastAsia"/>
              </w:rPr>
              <w:t xml:space="preserve">   </w:t>
            </w:r>
            <w:r w:rsidRPr="00B52FA6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社區式家庭</w:t>
            </w:r>
            <w:proofErr w:type="gramStart"/>
            <w:r w:rsidRPr="00B52FA6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托顧長期</w:t>
            </w:r>
            <w:proofErr w:type="gramEnd"/>
            <w:r w:rsidRPr="00B52FA6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照顧服務機構評鑑基準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04" w:rsidRDefault="00AD2A04" w:rsidP="00CD7D2D">
      <w:r>
        <w:separator/>
      </w:r>
    </w:p>
  </w:footnote>
  <w:footnote w:type="continuationSeparator" w:id="0">
    <w:p w:rsidR="00AD2A04" w:rsidRDefault="00AD2A04" w:rsidP="00CD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DA" w:rsidRDefault="00AD2A04" w:rsidP="0069572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461"/>
    <w:multiLevelType w:val="hybridMultilevel"/>
    <w:tmpl w:val="901AC8DC"/>
    <w:lvl w:ilvl="0" w:tplc="8B1C1FAC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755E7"/>
    <w:multiLevelType w:val="hybridMultilevel"/>
    <w:tmpl w:val="37CE6158"/>
    <w:lvl w:ilvl="0" w:tplc="89DEA74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D13C6"/>
    <w:multiLevelType w:val="hybridMultilevel"/>
    <w:tmpl w:val="51F476D8"/>
    <w:lvl w:ilvl="0" w:tplc="007A8686">
      <w:start w:val="1"/>
      <w:numFmt w:val="decimal"/>
      <w:suff w:val="space"/>
      <w:lvlText w:val="%1."/>
      <w:lvlJc w:val="left"/>
      <w:pPr>
        <w:ind w:left="244" w:hanging="142"/>
      </w:pPr>
      <w:rPr>
        <w:rFonts w:ascii="Times New Roman" w:eastAsia="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168CA16">
      <w:numFmt w:val="bullet"/>
      <w:lvlText w:val="•"/>
      <w:lvlJc w:val="left"/>
      <w:pPr>
        <w:ind w:left="986" w:hanging="262"/>
      </w:pPr>
      <w:rPr>
        <w:lang w:val="zh-TW" w:eastAsia="zh-TW" w:bidi="zh-TW"/>
      </w:rPr>
    </w:lvl>
    <w:lvl w:ilvl="2" w:tplc="5DD88042">
      <w:numFmt w:val="bullet"/>
      <w:lvlText w:val="•"/>
      <w:lvlJc w:val="left"/>
      <w:pPr>
        <w:ind w:left="1613" w:hanging="262"/>
      </w:pPr>
      <w:rPr>
        <w:lang w:val="zh-TW" w:eastAsia="zh-TW" w:bidi="zh-TW"/>
      </w:rPr>
    </w:lvl>
    <w:lvl w:ilvl="3" w:tplc="CD9695C0">
      <w:numFmt w:val="bullet"/>
      <w:lvlText w:val="•"/>
      <w:lvlJc w:val="left"/>
      <w:pPr>
        <w:ind w:left="2239" w:hanging="262"/>
      </w:pPr>
      <w:rPr>
        <w:lang w:val="zh-TW" w:eastAsia="zh-TW" w:bidi="zh-TW"/>
      </w:rPr>
    </w:lvl>
    <w:lvl w:ilvl="4" w:tplc="78584AD2">
      <w:numFmt w:val="bullet"/>
      <w:lvlText w:val="•"/>
      <w:lvlJc w:val="left"/>
      <w:pPr>
        <w:ind w:left="2866" w:hanging="262"/>
      </w:pPr>
      <w:rPr>
        <w:lang w:val="zh-TW" w:eastAsia="zh-TW" w:bidi="zh-TW"/>
      </w:rPr>
    </w:lvl>
    <w:lvl w:ilvl="5" w:tplc="DD7ED9BA">
      <w:numFmt w:val="bullet"/>
      <w:lvlText w:val="•"/>
      <w:lvlJc w:val="left"/>
      <w:pPr>
        <w:ind w:left="3492" w:hanging="262"/>
      </w:pPr>
      <w:rPr>
        <w:lang w:val="zh-TW" w:eastAsia="zh-TW" w:bidi="zh-TW"/>
      </w:rPr>
    </w:lvl>
    <w:lvl w:ilvl="6" w:tplc="3AF2D992">
      <w:numFmt w:val="bullet"/>
      <w:lvlText w:val="•"/>
      <w:lvlJc w:val="left"/>
      <w:pPr>
        <w:ind w:left="4119" w:hanging="262"/>
      </w:pPr>
      <w:rPr>
        <w:lang w:val="zh-TW" w:eastAsia="zh-TW" w:bidi="zh-TW"/>
      </w:rPr>
    </w:lvl>
    <w:lvl w:ilvl="7" w:tplc="73AAA58C">
      <w:numFmt w:val="bullet"/>
      <w:lvlText w:val="•"/>
      <w:lvlJc w:val="left"/>
      <w:pPr>
        <w:ind w:left="4745" w:hanging="262"/>
      </w:pPr>
      <w:rPr>
        <w:lang w:val="zh-TW" w:eastAsia="zh-TW" w:bidi="zh-TW"/>
      </w:rPr>
    </w:lvl>
    <w:lvl w:ilvl="8" w:tplc="8952A3FE">
      <w:numFmt w:val="bullet"/>
      <w:lvlText w:val="•"/>
      <w:lvlJc w:val="left"/>
      <w:pPr>
        <w:ind w:left="5372" w:hanging="262"/>
      </w:pPr>
      <w:rPr>
        <w:lang w:val="zh-TW" w:eastAsia="zh-TW" w:bidi="zh-TW"/>
      </w:rPr>
    </w:lvl>
  </w:abstractNum>
  <w:abstractNum w:abstractNumId="3" w15:restartNumberingAfterBreak="0">
    <w:nsid w:val="092328D9"/>
    <w:multiLevelType w:val="hybridMultilevel"/>
    <w:tmpl w:val="E6AE278C"/>
    <w:lvl w:ilvl="0" w:tplc="99CC9858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7629F"/>
    <w:multiLevelType w:val="hybridMultilevel"/>
    <w:tmpl w:val="E55E0E30"/>
    <w:lvl w:ilvl="0" w:tplc="5C8AA920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250189"/>
    <w:multiLevelType w:val="hybridMultilevel"/>
    <w:tmpl w:val="0CD21F7E"/>
    <w:lvl w:ilvl="0" w:tplc="73564A4E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78F0D0C"/>
    <w:multiLevelType w:val="hybridMultilevel"/>
    <w:tmpl w:val="0E80CA62"/>
    <w:lvl w:ilvl="0" w:tplc="A50088E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454522"/>
    <w:multiLevelType w:val="hybridMultilevel"/>
    <w:tmpl w:val="F282164E"/>
    <w:lvl w:ilvl="0" w:tplc="4A3A1E40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B314A"/>
    <w:multiLevelType w:val="hybridMultilevel"/>
    <w:tmpl w:val="B04030D6"/>
    <w:lvl w:ilvl="0" w:tplc="ADFE73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35059"/>
    <w:multiLevelType w:val="hybridMultilevel"/>
    <w:tmpl w:val="DFF0925E"/>
    <w:lvl w:ilvl="0" w:tplc="D5FCC116">
      <w:start w:val="1"/>
      <w:numFmt w:val="decimal"/>
      <w:suff w:val="space"/>
      <w:lvlText w:val="%1."/>
      <w:lvlJc w:val="left"/>
      <w:pPr>
        <w:ind w:left="437" w:hanging="4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A02A67"/>
    <w:multiLevelType w:val="hybridMultilevel"/>
    <w:tmpl w:val="9C78585E"/>
    <w:lvl w:ilvl="0" w:tplc="3D28849A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2A76F3"/>
    <w:multiLevelType w:val="hybridMultilevel"/>
    <w:tmpl w:val="D688D744"/>
    <w:lvl w:ilvl="0" w:tplc="E112F55A">
      <w:start w:val="1"/>
      <w:numFmt w:val="taiwaneseCountingThousand"/>
      <w:suff w:val="space"/>
      <w:lvlText w:val="%1、"/>
      <w:lvlJc w:val="left"/>
      <w:pPr>
        <w:ind w:left="672" w:hanging="672"/>
      </w:pPr>
      <w:rPr>
        <w:rFonts w:ascii="標楷體" w:eastAsia="標楷體" w:hAnsi="標楷體" w:hint="default"/>
        <w:b/>
        <w:sz w:val="32"/>
      </w:rPr>
    </w:lvl>
    <w:lvl w:ilvl="1" w:tplc="5AECA43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6C00CF"/>
    <w:multiLevelType w:val="hybridMultilevel"/>
    <w:tmpl w:val="ABE60CEE"/>
    <w:lvl w:ilvl="0" w:tplc="BFCEF1CC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E0533E"/>
    <w:multiLevelType w:val="hybridMultilevel"/>
    <w:tmpl w:val="8092CA2C"/>
    <w:lvl w:ilvl="0" w:tplc="A49C76D0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AE118C"/>
    <w:multiLevelType w:val="hybridMultilevel"/>
    <w:tmpl w:val="C6288AC4"/>
    <w:lvl w:ilvl="0" w:tplc="E712633A">
      <w:start w:val="1"/>
      <w:numFmt w:val="decimal"/>
      <w:suff w:val="space"/>
      <w:lvlText w:val="%1."/>
      <w:lvlJc w:val="left"/>
      <w:pPr>
        <w:ind w:left="284" w:hanging="182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5B10F6"/>
    <w:multiLevelType w:val="hybridMultilevel"/>
    <w:tmpl w:val="528C3A0A"/>
    <w:lvl w:ilvl="0" w:tplc="F3CEC83C">
      <w:start w:val="1"/>
      <w:numFmt w:val="decimal"/>
      <w:suff w:val="space"/>
      <w:lvlText w:val="%1."/>
      <w:lvlJc w:val="left"/>
      <w:pPr>
        <w:ind w:left="244" w:hanging="244"/>
      </w:pPr>
      <w:rPr>
        <w:rFonts w:hAnsi="Calibri" w:hint="eastAsia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6" w15:restartNumberingAfterBreak="0">
    <w:nsid w:val="2EED6B6B"/>
    <w:multiLevelType w:val="hybridMultilevel"/>
    <w:tmpl w:val="DEF86232"/>
    <w:lvl w:ilvl="0" w:tplc="9DD8F40E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  <w:color w:val="FF0000"/>
        <w:sz w:val="24"/>
        <w:szCs w:val="24"/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C877F9"/>
    <w:multiLevelType w:val="hybridMultilevel"/>
    <w:tmpl w:val="84C0211A"/>
    <w:lvl w:ilvl="0" w:tplc="71B6CA96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7AC0EDD"/>
    <w:multiLevelType w:val="hybridMultilevel"/>
    <w:tmpl w:val="D9F2AAC2"/>
    <w:lvl w:ilvl="0" w:tplc="E42897A4">
      <w:start w:val="1"/>
      <w:numFmt w:val="decimal"/>
      <w:suff w:val="space"/>
      <w:lvlText w:val="%1."/>
      <w:lvlJc w:val="left"/>
      <w:pPr>
        <w:ind w:left="244" w:hanging="142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C213A"/>
    <w:multiLevelType w:val="hybridMultilevel"/>
    <w:tmpl w:val="63F418F8"/>
    <w:lvl w:ilvl="0" w:tplc="5008D5A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E330E5"/>
    <w:multiLevelType w:val="hybridMultilevel"/>
    <w:tmpl w:val="341468F2"/>
    <w:lvl w:ilvl="0" w:tplc="DCAE85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127C72"/>
    <w:multiLevelType w:val="hybridMultilevel"/>
    <w:tmpl w:val="0270E632"/>
    <w:lvl w:ilvl="0" w:tplc="F68A99BA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2B3985"/>
    <w:multiLevelType w:val="hybridMultilevel"/>
    <w:tmpl w:val="A25C1BA0"/>
    <w:lvl w:ilvl="0" w:tplc="D56E5F4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761775"/>
    <w:multiLevelType w:val="hybridMultilevel"/>
    <w:tmpl w:val="3F0C12CA"/>
    <w:lvl w:ilvl="0" w:tplc="9534525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711142"/>
    <w:multiLevelType w:val="hybridMultilevel"/>
    <w:tmpl w:val="CE8EAFDC"/>
    <w:lvl w:ilvl="0" w:tplc="21A2CD5C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5C43DE"/>
    <w:multiLevelType w:val="hybridMultilevel"/>
    <w:tmpl w:val="762E64E2"/>
    <w:lvl w:ilvl="0" w:tplc="9D60ECA6">
      <w:start w:val="1"/>
      <w:numFmt w:val="decimal"/>
      <w:suff w:val="space"/>
      <w:lvlText w:val="%1."/>
      <w:lvlJc w:val="left"/>
      <w:pPr>
        <w:ind w:left="244" w:hanging="142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26" w15:restartNumberingAfterBreak="0">
    <w:nsid w:val="56432049"/>
    <w:multiLevelType w:val="hybridMultilevel"/>
    <w:tmpl w:val="15DAB828"/>
    <w:lvl w:ilvl="0" w:tplc="5712ADF4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color w:val="000000" w:themeColor="text1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AE00559"/>
    <w:multiLevelType w:val="hybridMultilevel"/>
    <w:tmpl w:val="5E320B5E"/>
    <w:lvl w:ilvl="0" w:tplc="DDD6FAC8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28" w15:restartNumberingAfterBreak="0">
    <w:nsid w:val="60463168"/>
    <w:multiLevelType w:val="hybridMultilevel"/>
    <w:tmpl w:val="2542BE5A"/>
    <w:lvl w:ilvl="0" w:tplc="73B20CEC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3CC6514"/>
    <w:multiLevelType w:val="hybridMultilevel"/>
    <w:tmpl w:val="51B26CE4"/>
    <w:lvl w:ilvl="0" w:tplc="BD76F1EA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6718CC"/>
    <w:multiLevelType w:val="hybridMultilevel"/>
    <w:tmpl w:val="3036D436"/>
    <w:lvl w:ilvl="0" w:tplc="B088CF66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1E779F"/>
    <w:multiLevelType w:val="hybridMultilevel"/>
    <w:tmpl w:val="F61AF2EE"/>
    <w:lvl w:ilvl="0" w:tplc="A888E3C8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6B6DA0"/>
    <w:multiLevelType w:val="hybridMultilevel"/>
    <w:tmpl w:val="036479A0"/>
    <w:lvl w:ilvl="0" w:tplc="FA4276C6">
      <w:numFmt w:val="bullet"/>
      <w:suff w:val="space"/>
      <w:lvlText w:val="■"/>
      <w:lvlJc w:val="left"/>
      <w:pPr>
        <w:ind w:left="360" w:hanging="360"/>
      </w:pPr>
      <w:rPr>
        <w:rFonts w:ascii="標楷體" w:eastAsia="標楷體" w:hAnsi="標楷體" w:cs="Noto Sans Mono CJK JP Regular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BF13E1D"/>
    <w:multiLevelType w:val="hybridMultilevel"/>
    <w:tmpl w:val="0E80CA62"/>
    <w:lvl w:ilvl="0" w:tplc="A50088E6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1113B2"/>
    <w:multiLevelType w:val="hybridMultilevel"/>
    <w:tmpl w:val="993AD3CC"/>
    <w:lvl w:ilvl="0" w:tplc="B1F81494">
      <w:start w:val="3"/>
      <w:numFmt w:val="taiwaneseCountingThousand"/>
      <w:lvlText w:val="%1、"/>
      <w:lvlJc w:val="left"/>
      <w:pPr>
        <w:ind w:left="672" w:hanging="672"/>
      </w:pPr>
      <w:rPr>
        <w:rFonts w:ascii="標楷體" w:eastAsia="標楷體" w:hAnsi="標楷體"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1E22B0"/>
    <w:multiLevelType w:val="hybridMultilevel"/>
    <w:tmpl w:val="F33E4D20"/>
    <w:lvl w:ilvl="0" w:tplc="115688F0">
      <w:start w:val="1"/>
      <w:numFmt w:val="decimal"/>
      <w:suff w:val="space"/>
      <w:lvlText w:val="%1."/>
      <w:lvlJc w:val="left"/>
      <w:pPr>
        <w:ind w:left="360" w:hanging="258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36" w15:restartNumberingAfterBreak="0">
    <w:nsid w:val="70292EBF"/>
    <w:multiLevelType w:val="hybridMultilevel"/>
    <w:tmpl w:val="2A567948"/>
    <w:lvl w:ilvl="0" w:tplc="A80C7086">
      <w:start w:val="1"/>
      <w:numFmt w:val="decimal"/>
      <w:suff w:val="space"/>
      <w:lvlText w:val="%1."/>
      <w:lvlJc w:val="left"/>
      <w:pPr>
        <w:ind w:left="284" w:hanging="18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2D3F15"/>
    <w:multiLevelType w:val="hybridMultilevel"/>
    <w:tmpl w:val="E710E5E2"/>
    <w:lvl w:ilvl="0" w:tplc="C72C6EA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7736DA"/>
    <w:multiLevelType w:val="hybridMultilevel"/>
    <w:tmpl w:val="63F418F8"/>
    <w:lvl w:ilvl="0" w:tplc="5008D5AA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DA7972"/>
    <w:multiLevelType w:val="hybridMultilevel"/>
    <w:tmpl w:val="31B447C8"/>
    <w:lvl w:ilvl="0" w:tplc="1CF403F6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E400E3"/>
    <w:multiLevelType w:val="hybridMultilevel"/>
    <w:tmpl w:val="52642972"/>
    <w:lvl w:ilvl="0" w:tplc="EE748B94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31"/>
  </w:num>
  <w:num w:numId="6">
    <w:abstractNumId w:val="36"/>
  </w:num>
  <w:num w:numId="7">
    <w:abstractNumId w:val="15"/>
  </w:num>
  <w:num w:numId="8">
    <w:abstractNumId w:val="27"/>
  </w:num>
  <w:num w:numId="9">
    <w:abstractNumId w:val="25"/>
  </w:num>
  <w:num w:numId="10">
    <w:abstractNumId w:val="2"/>
  </w:num>
  <w:num w:numId="11">
    <w:abstractNumId w:val="21"/>
  </w:num>
  <w:num w:numId="12">
    <w:abstractNumId w:val="12"/>
  </w:num>
  <w:num w:numId="13">
    <w:abstractNumId w:val="1"/>
  </w:num>
  <w:num w:numId="14">
    <w:abstractNumId w:val="19"/>
  </w:num>
  <w:num w:numId="15">
    <w:abstractNumId w:val="0"/>
  </w:num>
  <w:num w:numId="16">
    <w:abstractNumId w:val="23"/>
  </w:num>
  <w:num w:numId="17">
    <w:abstractNumId w:val="34"/>
  </w:num>
  <w:num w:numId="18">
    <w:abstractNumId w:val="30"/>
  </w:num>
  <w:num w:numId="19">
    <w:abstractNumId w:val="29"/>
  </w:num>
  <w:num w:numId="20">
    <w:abstractNumId w:val="33"/>
  </w:num>
  <w:num w:numId="21">
    <w:abstractNumId w:val="10"/>
  </w:num>
  <w:num w:numId="22">
    <w:abstractNumId w:val="5"/>
  </w:num>
  <w:num w:numId="23">
    <w:abstractNumId w:val="40"/>
  </w:num>
  <w:num w:numId="24">
    <w:abstractNumId w:val="39"/>
  </w:num>
  <w:num w:numId="25">
    <w:abstractNumId w:val="13"/>
  </w:num>
  <w:num w:numId="26">
    <w:abstractNumId w:val="18"/>
  </w:num>
  <w:num w:numId="27">
    <w:abstractNumId w:val="26"/>
  </w:num>
  <w:num w:numId="28">
    <w:abstractNumId w:val="28"/>
  </w:num>
  <w:num w:numId="29">
    <w:abstractNumId w:val="32"/>
  </w:num>
  <w:num w:numId="30">
    <w:abstractNumId w:val="17"/>
  </w:num>
  <w:num w:numId="31">
    <w:abstractNumId w:val="4"/>
  </w:num>
  <w:num w:numId="32">
    <w:abstractNumId w:val="31"/>
  </w:num>
  <w:num w:numId="33">
    <w:abstractNumId w:val="14"/>
  </w:num>
  <w:num w:numId="34">
    <w:abstractNumId w:val="22"/>
  </w:num>
  <w:num w:numId="35">
    <w:abstractNumId w:val="20"/>
  </w:num>
  <w:num w:numId="36">
    <w:abstractNumId w:val="35"/>
  </w:num>
  <w:num w:numId="37">
    <w:abstractNumId w:val="24"/>
  </w:num>
  <w:num w:numId="38">
    <w:abstractNumId w:val="38"/>
  </w:num>
  <w:num w:numId="39">
    <w:abstractNumId w:val="6"/>
  </w:num>
  <w:num w:numId="40">
    <w:abstractNumId w:val="37"/>
  </w:num>
  <w:num w:numId="41">
    <w:abstractNumId w:val="8"/>
  </w:num>
  <w:num w:numId="42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2D"/>
    <w:rsid w:val="00010092"/>
    <w:rsid w:val="0001037C"/>
    <w:rsid w:val="00015F77"/>
    <w:rsid w:val="000178B1"/>
    <w:rsid w:val="00076626"/>
    <w:rsid w:val="00086C58"/>
    <w:rsid w:val="000D3EEF"/>
    <w:rsid w:val="000E6280"/>
    <w:rsid w:val="00120524"/>
    <w:rsid w:val="001364B2"/>
    <w:rsid w:val="00161C7D"/>
    <w:rsid w:val="0016383E"/>
    <w:rsid w:val="001716FA"/>
    <w:rsid w:val="00187654"/>
    <w:rsid w:val="00195F49"/>
    <w:rsid w:val="001A05D0"/>
    <w:rsid w:val="001D223B"/>
    <w:rsid w:val="001D4D9E"/>
    <w:rsid w:val="001E7457"/>
    <w:rsid w:val="001F00AD"/>
    <w:rsid w:val="001F17A3"/>
    <w:rsid w:val="00204982"/>
    <w:rsid w:val="002272C7"/>
    <w:rsid w:val="0023180D"/>
    <w:rsid w:val="00237A60"/>
    <w:rsid w:val="002620D5"/>
    <w:rsid w:val="00294237"/>
    <w:rsid w:val="002E75D3"/>
    <w:rsid w:val="00310EB2"/>
    <w:rsid w:val="00316F46"/>
    <w:rsid w:val="0031775C"/>
    <w:rsid w:val="003635BC"/>
    <w:rsid w:val="00385881"/>
    <w:rsid w:val="003B7C89"/>
    <w:rsid w:val="003C5AB0"/>
    <w:rsid w:val="003C7107"/>
    <w:rsid w:val="003D57E2"/>
    <w:rsid w:val="003F4C8C"/>
    <w:rsid w:val="003F6FB5"/>
    <w:rsid w:val="00406C0D"/>
    <w:rsid w:val="00420BB4"/>
    <w:rsid w:val="0042495E"/>
    <w:rsid w:val="00434AEF"/>
    <w:rsid w:val="00486046"/>
    <w:rsid w:val="004C1A86"/>
    <w:rsid w:val="004C1B33"/>
    <w:rsid w:val="004C5C24"/>
    <w:rsid w:val="004D1779"/>
    <w:rsid w:val="004D7257"/>
    <w:rsid w:val="004E7BDD"/>
    <w:rsid w:val="004F0B61"/>
    <w:rsid w:val="004F6BD6"/>
    <w:rsid w:val="005041EF"/>
    <w:rsid w:val="00522350"/>
    <w:rsid w:val="00524F29"/>
    <w:rsid w:val="00586CC4"/>
    <w:rsid w:val="005D324C"/>
    <w:rsid w:val="005F6ECB"/>
    <w:rsid w:val="00611F33"/>
    <w:rsid w:val="00621D5F"/>
    <w:rsid w:val="0062687D"/>
    <w:rsid w:val="006319AB"/>
    <w:rsid w:val="00650111"/>
    <w:rsid w:val="0065548A"/>
    <w:rsid w:val="0065685B"/>
    <w:rsid w:val="00677CB4"/>
    <w:rsid w:val="006A6BDA"/>
    <w:rsid w:val="006D1773"/>
    <w:rsid w:val="006D3BFF"/>
    <w:rsid w:val="006E1584"/>
    <w:rsid w:val="006E1AA9"/>
    <w:rsid w:val="006F0472"/>
    <w:rsid w:val="00705267"/>
    <w:rsid w:val="00726E6C"/>
    <w:rsid w:val="00740C5D"/>
    <w:rsid w:val="00756BD9"/>
    <w:rsid w:val="007665FE"/>
    <w:rsid w:val="007D1FA9"/>
    <w:rsid w:val="007D654E"/>
    <w:rsid w:val="007D7980"/>
    <w:rsid w:val="00823E48"/>
    <w:rsid w:val="00865623"/>
    <w:rsid w:val="00867747"/>
    <w:rsid w:val="008A1437"/>
    <w:rsid w:val="008D087C"/>
    <w:rsid w:val="008E39AB"/>
    <w:rsid w:val="009367C7"/>
    <w:rsid w:val="00963AC8"/>
    <w:rsid w:val="00965DA3"/>
    <w:rsid w:val="00980205"/>
    <w:rsid w:val="009813E7"/>
    <w:rsid w:val="009A3618"/>
    <w:rsid w:val="009A5F8A"/>
    <w:rsid w:val="009B567F"/>
    <w:rsid w:val="009D02C2"/>
    <w:rsid w:val="009E03A4"/>
    <w:rsid w:val="009E572B"/>
    <w:rsid w:val="009E6F7B"/>
    <w:rsid w:val="009F071E"/>
    <w:rsid w:val="009F63E2"/>
    <w:rsid w:val="00A51477"/>
    <w:rsid w:val="00A54FDA"/>
    <w:rsid w:val="00AB59B1"/>
    <w:rsid w:val="00AB6BD4"/>
    <w:rsid w:val="00AD2A04"/>
    <w:rsid w:val="00AE0E90"/>
    <w:rsid w:val="00AE4BC5"/>
    <w:rsid w:val="00AE517A"/>
    <w:rsid w:val="00B52FA6"/>
    <w:rsid w:val="00B7206B"/>
    <w:rsid w:val="00B87150"/>
    <w:rsid w:val="00B91C45"/>
    <w:rsid w:val="00B93D35"/>
    <w:rsid w:val="00BC116A"/>
    <w:rsid w:val="00BC3D20"/>
    <w:rsid w:val="00BC5CDA"/>
    <w:rsid w:val="00BD112D"/>
    <w:rsid w:val="00BD2BD3"/>
    <w:rsid w:val="00BD4AE2"/>
    <w:rsid w:val="00C00EC0"/>
    <w:rsid w:val="00C332B1"/>
    <w:rsid w:val="00C407DA"/>
    <w:rsid w:val="00C44ED1"/>
    <w:rsid w:val="00C738D7"/>
    <w:rsid w:val="00C769B1"/>
    <w:rsid w:val="00CB010B"/>
    <w:rsid w:val="00CD7D2D"/>
    <w:rsid w:val="00CE34A4"/>
    <w:rsid w:val="00CF0941"/>
    <w:rsid w:val="00D20706"/>
    <w:rsid w:val="00D45180"/>
    <w:rsid w:val="00D54A0B"/>
    <w:rsid w:val="00D66F41"/>
    <w:rsid w:val="00D81151"/>
    <w:rsid w:val="00D85325"/>
    <w:rsid w:val="00D853B3"/>
    <w:rsid w:val="00DC07DB"/>
    <w:rsid w:val="00DD134F"/>
    <w:rsid w:val="00E6729F"/>
    <w:rsid w:val="00E7216D"/>
    <w:rsid w:val="00EB013C"/>
    <w:rsid w:val="00EE0D9F"/>
    <w:rsid w:val="00EF2AA3"/>
    <w:rsid w:val="00F23892"/>
    <w:rsid w:val="00F37034"/>
    <w:rsid w:val="00F45946"/>
    <w:rsid w:val="00F76C50"/>
    <w:rsid w:val="00FA2BDA"/>
    <w:rsid w:val="00FB4B12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CC5FE-9B83-4C5E-9651-4C2AD4DC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7D2D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CD7D2D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CD7D2D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CD7D2D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D7D2D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CD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7D2D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CD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7D2D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CD7D2D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CD7D2D"/>
  </w:style>
  <w:style w:type="paragraph" w:styleId="a9">
    <w:name w:val="List Paragraph"/>
    <w:aliases w:val="表名"/>
    <w:basedOn w:val="a"/>
    <w:link w:val="aa"/>
    <w:uiPriority w:val="34"/>
    <w:qFormat/>
    <w:rsid w:val="00CD7D2D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CD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CD7D2D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D7D2D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CD7D2D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CD7D2D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D7D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7D2D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CD7D2D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D2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D7D2D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CD7D2D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CD7D2D"/>
    <w:pPr>
      <w:widowControl w:val="0"/>
    </w:pPr>
  </w:style>
  <w:style w:type="paragraph" w:customStyle="1" w:styleId="Default">
    <w:name w:val="Default"/>
    <w:rsid w:val="00CD7D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CD7D2D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CD7D2D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CD7D2D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CD7D2D"/>
  </w:style>
  <w:style w:type="paragraph" w:styleId="ac">
    <w:name w:val="Balloon Text"/>
    <w:basedOn w:val="a"/>
    <w:link w:val="14"/>
    <w:uiPriority w:val="99"/>
    <w:semiHidden/>
    <w:unhideWhenUsed/>
    <w:rsid w:val="00CD7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CD7D2D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CD7D2D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CHEN</dc:creator>
  <cp:lastModifiedBy>HP</cp:lastModifiedBy>
  <cp:revision>108</cp:revision>
  <cp:lastPrinted>2020-08-18T08:06:00Z</cp:lastPrinted>
  <dcterms:created xsi:type="dcterms:W3CDTF">2020-08-14T04:44:00Z</dcterms:created>
  <dcterms:modified xsi:type="dcterms:W3CDTF">2022-12-07T08:25:00Z</dcterms:modified>
</cp:coreProperties>
</file>